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-141.73228346456688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are the potential top-five sustainability issues for this client?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425.19685039370086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top five sustainability issues faced by the clients are: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425.19685039370086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Operations: Involves management and monitoring of the following services to achieve sustainability practices.</w:t>
      </w:r>
    </w:p>
    <w:p w:rsidR="00000000" w:rsidDel="00000000" w:rsidP="00000000" w:rsidRDefault="00000000" w:rsidRPr="00000000" w14:paraId="00000005">
      <w:pPr>
        <w:numPr>
          <w:ilvl w:val="5"/>
          <w:numId w:val="2"/>
        </w:numPr>
        <w:spacing w:line="276" w:lineRule="auto"/>
        <w:ind w:left="1417.3228346456694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Energy and emissions.</w:t>
      </w:r>
    </w:p>
    <w:p w:rsidR="00000000" w:rsidDel="00000000" w:rsidP="00000000" w:rsidRDefault="00000000" w:rsidRPr="00000000" w14:paraId="00000006">
      <w:pPr>
        <w:numPr>
          <w:ilvl w:val="5"/>
          <w:numId w:val="2"/>
        </w:numPr>
        <w:spacing w:line="276" w:lineRule="auto"/>
        <w:ind w:left="1417.3228346456694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Water management.</w:t>
      </w:r>
    </w:p>
    <w:p w:rsidR="00000000" w:rsidDel="00000000" w:rsidP="00000000" w:rsidRDefault="00000000" w:rsidRPr="00000000" w14:paraId="00000007">
      <w:pPr>
        <w:numPr>
          <w:ilvl w:val="5"/>
          <w:numId w:val="2"/>
        </w:numPr>
        <w:spacing w:line="276" w:lineRule="auto"/>
        <w:ind w:left="1417.3228346456694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Waste management.</w:t>
      </w:r>
    </w:p>
    <w:p w:rsidR="00000000" w:rsidDel="00000000" w:rsidP="00000000" w:rsidRDefault="00000000" w:rsidRPr="00000000" w14:paraId="00000008">
      <w:pPr>
        <w:numPr>
          <w:ilvl w:val="5"/>
          <w:numId w:val="2"/>
        </w:numPr>
        <w:spacing w:line="276" w:lineRule="auto"/>
        <w:ind w:left="1417.3228346456694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Travel and transport.</w:t>
      </w:r>
    </w:p>
    <w:p w:rsidR="00000000" w:rsidDel="00000000" w:rsidP="00000000" w:rsidRDefault="00000000" w:rsidRPr="00000000" w14:paraId="00000009">
      <w:pPr>
        <w:numPr>
          <w:ilvl w:val="5"/>
          <w:numId w:val="2"/>
        </w:numPr>
        <w:spacing w:line="276" w:lineRule="auto"/>
        <w:ind w:left="1417.3228346456694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Biodiversity.</w:t>
      </w:r>
    </w:p>
    <w:p w:rsidR="00000000" w:rsidDel="00000000" w:rsidP="00000000" w:rsidRDefault="00000000" w:rsidRPr="00000000" w14:paraId="0000000A">
      <w:pPr>
        <w:numPr>
          <w:ilvl w:val="5"/>
          <w:numId w:val="2"/>
        </w:numPr>
        <w:spacing w:line="276" w:lineRule="auto"/>
        <w:ind w:left="1417.3228346456694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Sustainable buildings and communities.</w:t>
      </w:r>
    </w:p>
    <w:p w:rsidR="00000000" w:rsidDel="00000000" w:rsidP="00000000" w:rsidRDefault="00000000" w:rsidRPr="00000000" w14:paraId="0000000B">
      <w:pPr>
        <w:numPr>
          <w:ilvl w:val="5"/>
          <w:numId w:val="2"/>
        </w:numPr>
        <w:spacing w:line="276" w:lineRule="auto"/>
        <w:ind w:left="1417.3228346456694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Climate adaptation &amp; resilience.</w:t>
      </w:r>
    </w:p>
    <w:p w:rsidR="00000000" w:rsidDel="00000000" w:rsidP="00000000" w:rsidRDefault="00000000" w:rsidRPr="00000000" w14:paraId="0000000C">
      <w:pPr>
        <w:numPr>
          <w:ilvl w:val="5"/>
          <w:numId w:val="2"/>
        </w:numPr>
        <w:spacing w:line="276" w:lineRule="auto"/>
        <w:ind w:left="1417.3228346456694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Procurement of goods and services.</w:t>
      </w:r>
    </w:p>
    <w:p w:rsidR="00000000" w:rsidDel="00000000" w:rsidP="00000000" w:rsidRDefault="00000000" w:rsidRPr="00000000" w14:paraId="0000000D">
      <w:pPr>
        <w:numPr>
          <w:ilvl w:val="5"/>
          <w:numId w:val="2"/>
        </w:numPr>
        <w:spacing w:line="360" w:lineRule="auto"/>
        <w:ind w:left="1417.3228346456694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Campus engagement.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425.19685039370086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Governance: Aligning sustainability with institutional strategy, stakeholder engagement.</w:t>
      </w:r>
    </w:p>
    <w:p w:rsidR="00000000" w:rsidDel="00000000" w:rsidP="00000000" w:rsidRDefault="00000000" w:rsidRPr="00000000" w14:paraId="0000000F">
      <w:pPr>
        <w:numPr>
          <w:ilvl w:val="5"/>
          <w:numId w:val="2"/>
        </w:numPr>
        <w:spacing w:line="276" w:lineRule="auto"/>
        <w:ind w:left="1417.3228346456694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Integration with strategy (all levels).</w:t>
      </w:r>
    </w:p>
    <w:p w:rsidR="00000000" w:rsidDel="00000000" w:rsidP="00000000" w:rsidRDefault="00000000" w:rsidRPr="00000000" w14:paraId="00000010">
      <w:pPr>
        <w:numPr>
          <w:ilvl w:val="5"/>
          <w:numId w:val="2"/>
        </w:numPr>
        <w:spacing w:line="276" w:lineRule="auto"/>
        <w:ind w:left="1417.3228346456694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Stakeholder inclusiveness (including especially First Nations peoples).</w:t>
      </w:r>
    </w:p>
    <w:p w:rsidR="00000000" w:rsidDel="00000000" w:rsidP="00000000" w:rsidRDefault="00000000" w:rsidRPr="00000000" w14:paraId="00000011">
      <w:pPr>
        <w:numPr>
          <w:ilvl w:val="5"/>
          <w:numId w:val="2"/>
        </w:numPr>
        <w:spacing w:line="360" w:lineRule="auto"/>
        <w:ind w:left="1417.3228346456694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Reporting.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425.19685039370086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Teaching &amp; Learning: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Integrate sustainable practices and their awareness into the curriculum.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992.125984251968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Curriculum (core) development.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992.125984251968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Work integrated learning.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992.125984251968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Specialist interdisciplinary courses.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425.19685039370086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Engagement: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Overall efficient sustainability can be achieved through the collaboration of various divisions.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992.125984251968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Cross sector collaboration leadership.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992.125984251968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University engagement programs.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425.19685039370086" w:firstLine="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Research: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Linking academic research to operational sustainability goals and industry partnerships.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992.125984251968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policy.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992.125984251968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Industry partnerships.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992.125984251968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Link with university operations &amp; planning.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76" w:lineRule="auto"/>
        <w:ind w:left="992.125984251968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Knowledge Dissemination.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What are the best practices and tools to address these five issues?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Addressing the top five sustainability issues: Tools and Best practices: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Emissions and Energy Management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Energy use and carbon emission reduction.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Analytics monitoring and real-time trackingHVAC, refrigeration, and other systems maintenance that consume high energy.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Dynamic Waste Minimization.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Roboto" w:cs="Roboto" w:eastAsia="Roboto" w:hAnsi="Robo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TCS iON Energy Management.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TCS Clever Energy™.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Digital Maturity Assessment.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Roboto" w:cs="Roboto" w:eastAsia="Roboto" w:hAnsi="Robo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Governance Integration: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Sustainability Strategy Integration.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Stakeholder Inclusiveness.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Transparent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ESG Maturity Framework.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Materiality Assessments.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Curriculum and Student Engagement: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Core Curriculum Development.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Work-Integrated Learning.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Interdisciplinary and Specialist Courses.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Community Engagement Programs.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Phygital Learning Platforms.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Digital Engagement Tools.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Research-Practice Alignment: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Industry-Academia Partnerships.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Operational Research Integration.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Knowledge Dissemination.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Co-Research and Consulting Services.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Digital Collaboration Platforms.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Sustainable Procurement: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Supply Chain Mapping.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Hotspot Analysis.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Risk and Impact Reduction Strategies.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Compliance with Standards.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ISO 20400 Alignment.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Digital Procurement Platforms.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="36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Circular Sourcing Strategies.</w:t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 What are the business and government sustainability-related regulations for the client's industry (higher education)?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Universities in Australia are subject to the following: 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Regulation/Standards: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NGER, National Greenhouse and Energy Reporting Act 2007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– Reports on Mandatory Emissions.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TEQSA, The Tertiary Education Quality and Standards Agency in Australia’s Higher Education Standards Framework (2021)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– Governance, management, institutional sustainability, and student achievement, as well as risk mitigation strategy.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Modern Slavery Act 2018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– Ethical disclosure of supply chain processes.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GRI, Global Reporting Initiative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– Sets guidelines for reporting on sustainable development.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ISO 14001/5001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– Relates to the systems for management of the environment and energy.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