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gaps. Where are they doing well? Where could they improve?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Strengths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Renewable investments and efficiency projects: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Achieved 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21%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reduction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energy consumption since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2018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20%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reduction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carbon emissions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since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2019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through solar investments and efficiency projects.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Waste Management: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Recycled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782 kilograms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IT equipment and diverted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40%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waste from landfills.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Biodiversity: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93%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occupancy rate of kelvin grove campus associated native fauna to nest boxes.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Compliance: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2021, there were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zero notifiable environmental incidents.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Gaps and fields that require improvements: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Procurement: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Limited action plans and case studies on sustainable suppliers. Waste diversion sits at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35%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no measurable data on recyclable reduction.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Built Environment: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Estate Master Plan update, Asset Management Plan, and certified sustainable furniture procurement are behind schedule.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Climate Change Resilience: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Emergency Management Plan and Design Guidelines require review for climate adaptable features.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Integration into the Curriculum: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Education for Sustainability Project is in early stages, focusing on developing an interdisciplinary curriculum.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Research Alignment with Practice: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pilot plant for renewable hydrogen energy research is on hold, and available funding for research($5.2 million) is modest relative to industry leaders.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0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How does this client compare with clients in the same industry?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Other universities have higher scores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SDG 17: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partnerships for the goals and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SDG 11: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sustainable cities and communities.</w:t>
        <w:br w:type="textWrapping"/>
        <w:t xml:space="preserve"> ● DUU prioritizes economic growth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SDG 8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more than other universities.</w:t>
        <w:br w:type="textWrapping"/>
        <w:t xml:space="preserve"> ● Overall impact performance is poor.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university ranks 22 of 25 Australian universities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included in these impact rankings.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Given the rankings of other Australian universities, including Western Sydney University in the number 1 spot, there is much room for improvement.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00" w:line="276" w:lineRule="auto"/>
        <w:ind w:right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0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are the client’s top-five challenges? (Think of areas where they are underperforming.)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Sustainable Procurement: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Lack of supplier action plans and transparent tracking.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Curriculum Integration: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Slow rollout of interdisciplinary sustainability courses.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Climate Adaptation: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Incomplete emergency and resilience plans.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Energy Dependency: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10% of energy reductions attributed to COVID lockdowns, risking rebound.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Research-Practice Gaps: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Limited alignment between academic research and operational sustainability goals.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In the context of the top-five sustainability issues for this client, based on the content identified in Task 1, what are the client’s top-two sustainability priorities?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Energy and Emissions Management: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Need to sustain energy reductions post-COVID and further integrate renewables.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Governance Integration: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Strengthen procurement, climate adaptation, and SDG-aligned reporting to drive systemic change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00" w:line="276" w:lineRule="auto"/>
        <w:ind w:right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