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Architecture Document — Online Examination Portal</w:t>
      </w:r>
    </w:p>
    <w:p>
      <w:pPr>
        <w:spacing w:after="0"/>
      </w:pPr>
      <w:r>
        <w:rPr>
          <w:b/>
        </w:rPr>
        <w:t>Course:</w:t>
      </w:r>
      <w:r>
        <w:t xml:space="preserve"> UE24CS341A — Software Engineering, PES University, Dept. of CSE</w:t>
      </w:r>
    </w:p>
    <w:p>
      <w:pPr>
        <w:spacing w:after="0"/>
      </w:pPr>
      <w:r>
        <w:rPr>
          <w:b/>
        </w:rPr>
        <w:t>Project:</w:t>
      </w:r>
      <w:r>
        <w:t xml:space="preserve"> Online Examination System with Multiple-Choice Questions and Evaluation</w:t>
      </w:r>
    </w:p>
    <w:p>
      <w:pPr>
        <w:spacing w:after="0"/>
      </w:pPr>
      <w:r>
        <w:rPr>
          <w:b/>
        </w:rPr>
        <w:t>Team:</w:t>
      </w:r>
      <w:r>
        <w:t xml:space="preserve"> Kshitij G Shettigar (Backend &amp; Data) · Kartik Basavaraj Meti (Frontend &amp; UX) · Komal S Sajja (QA &amp; Docs)</w:t>
      </w:r>
    </w:p>
    <w:p>
      <w:pPr>
        <w:spacing w:after="160"/>
      </w:pPr>
      <w:r>
        <w:rPr>
          <w:b/>
        </w:rPr>
        <w:t>Version:</w:t>
      </w:r>
      <w:r>
        <w:t xml:space="preserve"> 1.0 · </w:t>
      </w:r>
      <w:r>
        <w:rPr>
          <w:b/>
        </w:rPr>
        <w:t>Date:</w:t>
      </w:r>
      <w:r>
        <w:t xml:space="preserve"> 2026-10-15</w:t>
      </w:r>
    </w:p>
    <w:p>
      <w:pPr>
        <w:pStyle w:val="Heading1"/>
      </w:pPr>
      <w:r>
        <w:t>1. Purpose</w:t>
      </w:r>
    </w:p>
    <w:p>
      <w:pPr>
        <w:spacing w:after="160"/>
      </w:pPr>
      <w:r>
        <w:t xml:space="preserve">This document records the architecture chosen for the Online Examination Portal: the architectural style, the components and the interfaces between them, the technology each layer is built with, and why. Every component traces to requirements in </w:t>
      </w:r>
      <w:r>
        <w:rPr>
          <w:rFonts w:ascii="Consolas" w:hAnsi="Consolas"/>
        </w:rPr>
        <w:t>Documents/markdown/SRS.md</w:t>
      </w:r>
      <w:r>
        <w:t>.</w:t>
      </w:r>
    </w:p>
    <w:p>
      <w:pPr>
        <w:pStyle w:val="Heading1"/>
      </w:pPr>
      <w:r>
        <w:t>2. Architecture selection</w:t>
      </w:r>
    </w:p>
    <w:p>
      <w:pPr>
        <w:spacing w:after="160"/>
      </w:pPr>
      <w:r>
        <w:rPr>
          <w:b/>
        </w:rPr>
        <w:t>We chose a Layered architecture for the Online Examination Portal.</w:t>
      </w:r>
    </w:p>
    <w:p>
      <w:pPr>
        <w:pStyle w:val="Heading2"/>
      </w:pPr>
      <w:r>
        <w:t>2.1 Styles compared</w:t>
      </w:r>
    </w:p>
    <w:tbl>
      <w:tblPr>
        <w:tblStyle w:val="TableGrid"/>
        <w:tblW w:type="auto" w:w="0"/>
        <w:tblLayout w:type="fixed"/>
        <w:tblLook w:firstColumn="1" w:firstRow="1" w:lastColumn="0" w:lastRow="0" w:noHBand="0" w:noVBand="1" w:val="04A0"/>
      </w:tblPr>
      <w:tblGrid>
        <w:gridCol w:w="3289"/>
        <w:gridCol w:w="3289"/>
        <w:gridCol w:w="3289"/>
      </w:tblGrid>
      <w:tr>
        <w:trPr>
          <w:tblHeader w:val="true"/>
        </w:trPr>
        <w:tc>
          <w:tcPr>
            <w:tcW w:type="dxa" w:w="2434"/>
            <w:shd w:val="clear" w:color="auto" w:fill="D9E2F3"/>
          </w:tcPr>
          <w:p>
            <w:r>
              <w:rPr>
                <w:b/>
              </w:rPr>
            </w:r>
            <w:r>
              <w:rPr>
                <w:b/>
                <w:sz w:val="18"/>
              </w:rPr>
              <w:t>Style</w:t>
            </w:r>
          </w:p>
        </w:tc>
        <w:tc>
          <w:tcPr>
            <w:tcW w:type="dxa" w:w="5035"/>
            <w:shd w:val="clear" w:color="auto" w:fill="D9E2F3"/>
          </w:tcPr>
          <w:p>
            <w:r>
              <w:rPr>
                <w:b/>
              </w:rPr>
            </w:r>
            <w:r>
              <w:rPr>
                <w:b/>
                <w:sz w:val="18"/>
              </w:rPr>
              <w:t>Fit for this system</w:t>
            </w:r>
          </w:p>
        </w:tc>
        <w:tc>
          <w:tcPr>
            <w:tcW w:type="dxa" w:w="2397"/>
            <w:shd w:val="clear" w:color="auto" w:fill="D9E2F3"/>
          </w:tcPr>
          <w:p>
            <w:r>
              <w:rPr>
                <w:b/>
              </w:rPr>
            </w:r>
            <w:r>
              <w:rPr>
                <w:b/>
                <w:sz w:val="18"/>
              </w:rPr>
              <w:t>Verdict</w:t>
            </w:r>
          </w:p>
        </w:tc>
      </w:tr>
      <w:tr>
        <w:tc>
          <w:tcPr>
            <w:tcW w:type="dxa" w:w="2434"/>
          </w:tcPr>
          <w:p>
            <w:r/>
            <w:r>
              <w:rPr>
                <w:b/>
                <w:sz w:val="18"/>
              </w:rPr>
              <w:t>Layered</w:t>
            </w:r>
            <w:r>
              <w:rPr>
                <w:sz w:val="18"/>
              </w:rPr>
              <w:t xml:space="preserve"> (Presentation / Business / Data)</w:t>
            </w:r>
          </w:p>
        </w:tc>
        <w:tc>
          <w:tcPr>
            <w:tcW w:type="dxa" w:w="5035"/>
          </w:tcPr>
          <w:p>
            <w:r/>
            <w:r>
              <w:rPr>
                <w:sz w:val="18"/>
              </w:rPr>
              <w:t>One deployable on one server; every rule (timer, eligibility, scoring) sits in one Business layer over one consistent database</w:t>
            </w:r>
          </w:p>
        </w:tc>
        <w:tc>
          <w:tcPr>
            <w:tcW w:type="dxa" w:w="2397"/>
          </w:tcPr>
          <w:p>
            <w:r/>
            <w:r>
              <w:rPr>
                <w:b/>
                <w:sz w:val="18"/>
              </w:rPr>
              <w:t>Chosen</w:t>
            </w:r>
          </w:p>
        </w:tc>
      </w:tr>
      <w:tr>
        <w:tc>
          <w:tcPr>
            <w:tcW w:type="dxa" w:w="2434"/>
          </w:tcPr>
          <w:p>
            <w:r/>
            <w:r>
              <w:rPr>
                <w:b/>
                <w:sz w:val="18"/>
              </w:rPr>
              <w:t>Microservices</w:t>
            </w:r>
          </w:p>
        </w:tc>
        <w:tc>
          <w:tcPr>
            <w:tcW w:type="dxa" w:w="5035"/>
          </w:tcPr>
          <w:p>
            <w:r/>
            <w:r>
              <w:rPr>
                <w:sz w:val="18"/>
              </w:rPr>
              <w:t>Independent scaling is not needed at 200 concurrent attempts (NFR-001), and splitting attempts and scoring across services breaks the single transaction that submission needs (FR-020, FR-022)</w:t>
            </w:r>
          </w:p>
        </w:tc>
        <w:tc>
          <w:tcPr>
            <w:tcW w:type="dxa" w:w="2397"/>
          </w:tcPr>
          <w:p>
            <w:r/>
            <w:r>
              <w:rPr>
                <w:sz w:val="18"/>
              </w:rPr>
              <w:t>Rejected — operational cost with no requirement that pays for it</w:t>
            </w:r>
          </w:p>
        </w:tc>
      </w:tr>
      <w:tr>
        <w:tc>
          <w:tcPr>
            <w:tcW w:type="dxa" w:w="2434"/>
          </w:tcPr>
          <w:p>
            <w:r/>
            <w:r>
              <w:rPr>
                <w:b/>
                <w:sz w:val="18"/>
              </w:rPr>
              <w:t>Client-Server</w:t>
            </w:r>
          </w:p>
        </w:tc>
        <w:tc>
          <w:tcPr>
            <w:tcW w:type="dxa" w:w="5035"/>
          </w:tcPr>
          <w:p>
            <w:r/>
            <w:r>
              <w:rPr>
                <w:sz w:val="18"/>
              </w:rPr>
              <w:t>Topologically true — browsers are the clients of one server — but says nothing about how the server is organised</w:t>
            </w:r>
          </w:p>
        </w:tc>
        <w:tc>
          <w:tcPr>
            <w:tcW w:type="dxa" w:w="2397"/>
          </w:tcPr>
          <w:p>
            <w:r/>
            <w:r>
              <w:rPr>
                <w:sz w:val="18"/>
              </w:rPr>
              <w:t xml:space="preserve">Absorbed — the layered server </w:t>
            </w:r>
            <w:r>
              <w:rPr>
                <w:i/>
                <w:sz w:val="18"/>
              </w:rPr>
              <w:t>is</w:t>
            </w:r>
            <w:r>
              <w:rPr>
                <w:sz w:val="18"/>
              </w:rPr>
              <w:t xml:space="preserve"> the server</w:t>
            </w:r>
          </w:p>
        </w:tc>
      </w:tr>
    </w:tbl>
    <w:p/>
    <w:p>
      <w:pPr>
        <w:pStyle w:val="Heading2"/>
      </w:pPr>
      <w:r>
        <w:t>2.2 Reasons for the choice</w:t>
      </w:r>
    </w:p>
    <w:p>
      <w:pPr>
        <w:pStyle w:val="ListNumber"/>
      </w:pPr>
      <w:r>
        <w:rPr>
          <w:b/>
        </w:rPr>
        <w:t>One consistent record for each attempt.</w:t>
      </w:r>
      <w:r>
        <w:t xml:space="preserve"> Starting an attempt, saving responses, submitting and scoring all read and write the same attempt row (FR-016, FR-019, FR-020, FR-022). In one Business layer over one database this is a single database transaction; across services it would need distributed coordination.</w:t>
      </w:r>
    </w:p>
    <w:p>
      <w:pPr>
        <w:pStyle w:val="ListNumber"/>
      </w:pPr>
      <w:r>
        <w:rPr>
          <w:b/>
        </w:rPr>
        <w:t>The rules live on the server, behind one layer.</w:t>
      </w:r>
      <w:r>
        <w:t xml:space="preserve"> The timer is computed from the server clock (FR-017), eligibility from server time and enrollment (FR-015), and the answer key never leaves the server (FR-029). Layering puts all of these in the Business layer, where the browser cannot reach or alter them.</w:t>
      </w:r>
    </w:p>
    <w:p>
      <w:pPr>
        <w:pStyle w:val="Heading2"/>
      </w:pPr>
      <w:r>
        <w:t>2.3 Security advantage</w:t>
      </w:r>
    </w:p>
    <w:p>
      <w:pPr>
        <w:spacing w:after="160"/>
      </w:pPr>
      <w:r>
        <w:t xml:space="preserve">The Presentation layer has </w:t>
      </w:r>
      <w:r>
        <w:rPr>
          <w:b/>
        </w:rPr>
        <w:t>no path to the database</w:t>
      </w:r>
      <w:r>
        <w:t xml:space="preserve">. It can only call Business-layer interfaces, and every Business-layer view checks the caller's session and role before acting (FR-003). The Attempt Session Manager builds the question payload for the Student and leaves out the correct option; the Presentation layer has no other route to it, so the key cannot leak through the page (FR-029, verified by </w:t>
      </w:r>
      <w:r>
        <w:rPr>
          <w:rFonts w:ascii="Consolas" w:hAnsi="Consolas"/>
        </w:rPr>
        <w:t>IT_035</w:t>
      </w:r>
      <w:r>
        <w:t>).</w:t>
      </w:r>
    </w:p>
    <w:p>
      <w:pPr>
        <w:pStyle w:val="Heading2"/>
      </w:pPr>
      <w:r>
        <w:t>2.4 Performance benefit</w:t>
      </w:r>
    </w:p>
    <w:p>
      <w:pPr>
        <w:spacing w:after="160"/>
      </w:pPr>
      <w:r>
        <w:t>Evaluation runs inside the server, on data already in the same database, as soon as the attempt is submitted — no network hop between services. Scoring a 100-question attempt is one query for the responses and one for the key, well within the 5-second target (NFR-002). Every page reads through one repository with indexed foreign keys, which is what NFR-001 (95% of requests within 2 s at 200 concurrent attempts) is load-tested against.</w:t>
      </w:r>
    </w:p>
    <w:p>
      <w:pPr>
        <w:pStyle w:val="Heading1"/>
      </w:pPr>
      <w:r>
        <w:t>3. Component diagram</w:t>
      </w:r>
    </w:p>
    <w:p>
      <w:r>
        <w:drawing>
          <wp:inline xmlns:a="http://schemas.openxmlformats.org/drawingml/2006/main" xmlns:pic="http://schemas.openxmlformats.org/drawingml/2006/picture">
            <wp:extent cx="6264910" cy="4800713"/>
            <wp:docPr id="1" name="Picture 1"/>
            <wp:cNvGraphicFramePr>
              <a:graphicFrameLocks noChangeAspect="1"/>
            </wp:cNvGraphicFramePr>
            <a:graphic>
              <a:graphicData uri="http://schemas.openxmlformats.org/drawingml/2006/picture">
                <pic:pic>
                  <pic:nvPicPr>
                    <pic:cNvPr id="0" name="component_diagram.png"/>
                    <pic:cNvPicPr/>
                  </pic:nvPicPr>
                  <pic:blipFill>
                    <a:blip r:embed="rId9"/>
                    <a:stretch>
                      <a:fillRect/>
                    </a:stretch>
                  </pic:blipFill>
                  <pic:spPr>
                    <a:xfrm>
                      <a:off x="0" y="0"/>
                      <a:ext cx="6264910" cy="4800713"/>
                    </a:xfrm>
                    <a:prstGeom prst="rect"/>
                  </pic:spPr>
                </pic:pic>
              </a:graphicData>
            </a:graphic>
          </wp:inline>
        </w:drawing>
      </w:r>
    </w:p>
    <w:p>
      <w:pPr>
        <w:spacing w:after="160"/>
      </w:pPr>
      <w:r>
        <w:t xml:space="preserve">Source: </w:t>
      </w:r>
      <w:r>
        <w:rPr>
          <w:rFonts w:ascii="Consolas" w:hAnsi="Consolas"/>
        </w:rPr>
        <w:t>Documents/diagrams/component_diagram.drawio</w:t>
      </w:r>
      <w:r>
        <w:t xml:space="preserve"> (open in draw.io). Notation: a ball is a </w:t>
      </w:r>
      <w:r>
        <w:rPr>
          <w:b/>
        </w:rPr>
        <w:t>provided</w:t>
      </w:r>
      <w:r>
        <w:t xml:space="preserve"> interface on the component that implements it; a socket is a </w:t>
      </w:r>
      <w:r>
        <w:rPr>
          <w:b/>
        </w:rPr>
        <w:t>required</w:t>
      </w:r>
      <w:r>
        <w:t xml:space="preserve"> interface on the component that calls it; a ball in a socket is an assembly connector.</w:t>
      </w:r>
    </w:p>
    <w:p>
      <w:pPr>
        <w:pStyle w:val="Heading2"/>
      </w:pPr>
      <w:r>
        <w:t>3.1 Components</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753"/>
            <w:shd w:val="clear" w:color="auto" w:fill="D9E2F3"/>
          </w:tcPr>
          <w:p>
            <w:r>
              <w:rPr>
                <w:b/>
              </w:rPr>
            </w:r>
            <w:r>
              <w:rPr>
                <w:b/>
                <w:sz w:val="18"/>
              </w:rPr>
              <w:t>Layer</w:t>
            </w:r>
          </w:p>
        </w:tc>
        <w:tc>
          <w:tcPr>
            <w:tcW w:type="dxa" w:w="2091"/>
            <w:shd w:val="clear" w:color="auto" w:fill="D9E2F3"/>
          </w:tcPr>
          <w:p>
            <w:r>
              <w:rPr>
                <w:b/>
              </w:rPr>
            </w:r>
            <w:r>
              <w:rPr>
                <w:b/>
                <w:sz w:val="18"/>
              </w:rPr>
              <w:t>Component</w:t>
            </w:r>
          </w:p>
        </w:tc>
        <w:tc>
          <w:tcPr>
            <w:tcW w:type="dxa" w:w="3655"/>
            <w:shd w:val="clear" w:color="auto" w:fill="D9E2F3"/>
          </w:tcPr>
          <w:p>
            <w:r>
              <w:rPr>
                <w:b/>
              </w:rPr>
            </w:r>
            <w:r>
              <w:rPr>
                <w:b/>
                <w:sz w:val="18"/>
              </w:rPr>
              <w:t>Responsibility</w:t>
            </w:r>
          </w:p>
        </w:tc>
        <w:tc>
          <w:tcPr>
            <w:tcW w:type="dxa" w:w="2367"/>
            <w:shd w:val="clear" w:color="auto" w:fill="D9E2F3"/>
          </w:tcPr>
          <w:p>
            <w:r>
              <w:rPr>
                <w:b/>
              </w:rPr>
            </w:r>
            <w:r>
              <w:rPr>
                <w:b/>
                <w:sz w:val="18"/>
              </w:rPr>
              <w:t>Requirements</w:t>
            </w:r>
          </w:p>
        </w:tc>
      </w:tr>
      <w:tr>
        <w:tc>
          <w:tcPr>
            <w:tcW w:type="dxa" w:w="1753"/>
          </w:tcPr>
          <w:p>
            <w:r/>
            <w:r>
              <w:rPr>
                <w:sz w:val="18"/>
              </w:rPr>
              <w:t>Presentation</w:t>
            </w:r>
          </w:p>
        </w:tc>
        <w:tc>
          <w:tcPr>
            <w:tcW w:type="dxa" w:w="2091"/>
          </w:tcPr>
          <w:p>
            <w:r/>
            <w:r>
              <w:rPr>
                <w:b/>
                <w:sz w:val="18"/>
              </w:rPr>
              <w:t>Student Exam Client</w:t>
            </w:r>
          </w:p>
        </w:tc>
        <w:tc>
          <w:tcPr>
            <w:tcW w:type="dxa" w:w="3655"/>
          </w:tcPr>
          <w:p>
            <w:r/>
            <w:r>
              <w:rPr>
                <w:sz w:val="18"/>
              </w:rPr>
              <w:t>Dashboard, exam screen, server-driven countdown, question palette, autosave and focus-loss listeners, scorecard</w:t>
            </w:r>
          </w:p>
        </w:tc>
        <w:tc>
          <w:tcPr>
            <w:tcW w:type="dxa" w:w="2367"/>
          </w:tcPr>
          <w:p>
            <w:r/>
            <w:r>
              <w:rPr>
                <w:sz w:val="18"/>
              </w:rPr>
              <w:t>FR-014, FR-017, FR-018, FR-019, FR-027, FR-028</w:t>
            </w:r>
          </w:p>
        </w:tc>
      </w:tr>
      <w:tr>
        <w:tc>
          <w:tcPr>
            <w:tcW w:type="dxa" w:w="1753"/>
          </w:tcPr>
          <w:p>
            <w:r/>
            <w:r>
              <w:rPr>
                <w:sz w:val="18"/>
              </w:rPr>
              <w:t>Presentation</w:t>
            </w:r>
          </w:p>
        </w:tc>
        <w:tc>
          <w:tcPr>
            <w:tcW w:type="dxa" w:w="2091"/>
          </w:tcPr>
          <w:p>
            <w:r/>
            <w:r>
              <w:rPr>
                <w:b/>
                <w:sz w:val="18"/>
              </w:rPr>
              <w:t>Faculty &amp; Admin Console</w:t>
            </w:r>
          </w:p>
        </w:tc>
        <w:tc>
          <w:tcPr>
            <w:tcW w:type="dxa" w:w="3655"/>
          </w:tcPr>
          <w:p>
            <w:r/>
            <w:r>
              <w:rPr>
                <w:sz w:val="18"/>
              </w:rPr>
              <w:t>Course and enrollment screens, question editor, exam setup and scheduling, results publishing, integrity and audit views</w:t>
            </w:r>
          </w:p>
        </w:tc>
        <w:tc>
          <w:tcPr>
            <w:tcW w:type="dxa" w:w="2367"/>
          </w:tcPr>
          <w:p>
            <w:r/>
            <w:r>
              <w:rPr>
                <w:sz w:val="18"/>
              </w:rPr>
              <w:t>FR-004, FR-005, FR-007–FR-013, FR-026</w:t>
            </w:r>
          </w:p>
        </w:tc>
      </w:tr>
      <w:tr>
        <w:tc>
          <w:tcPr>
            <w:tcW w:type="dxa" w:w="1753"/>
          </w:tcPr>
          <w:p>
            <w:r/>
            <w:r>
              <w:rPr>
                <w:sz w:val="18"/>
              </w:rPr>
              <w:t>Business</w:t>
            </w:r>
          </w:p>
        </w:tc>
        <w:tc>
          <w:tcPr>
            <w:tcW w:type="dxa" w:w="2091"/>
          </w:tcPr>
          <w:p>
            <w:r/>
            <w:r>
              <w:rPr>
                <w:b/>
                <w:sz w:val="18"/>
              </w:rPr>
              <w:t>Identity &amp; Enrollment Manager</w:t>
            </w:r>
          </w:p>
        </w:tc>
        <w:tc>
          <w:tcPr>
            <w:tcW w:type="dxa" w:w="3655"/>
          </w:tcPr>
          <w:p>
            <w:r/>
            <w:r>
              <w:rPr>
                <w:sz w:val="18"/>
              </w:rPr>
              <w:t>Registration, sign-in, roles, account lockout, course enrollment, eligibility checks</w:t>
            </w:r>
          </w:p>
        </w:tc>
        <w:tc>
          <w:tcPr>
            <w:tcW w:type="dxa" w:w="2367"/>
          </w:tcPr>
          <w:p>
            <w:r/>
            <w:r>
              <w:rPr>
                <w:sz w:val="18"/>
              </w:rPr>
              <w:t>FR-001–FR-006, FR-015, NFR-011, NFR-012</w:t>
            </w:r>
          </w:p>
        </w:tc>
      </w:tr>
      <w:tr>
        <w:tc>
          <w:tcPr>
            <w:tcW w:type="dxa" w:w="1753"/>
          </w:tcPr>
          <w:p>
            <w:r/>
            <w:r>
              <w:rPr>
                <w:sz w:val="18"/>
              </w:rPr>
              <w:t>Business</w:t>
            </w:r>
          </w:p>
        </w:tc>
        <w:tc>
          <w:tcPr>
            <w:tcW w:type="dxa" w:w="2091"/>
          </w:tcPr>
          <w:p>
            <w:r/>
            <w:r>
              <w:rPr>
                <w:b/>
                <w:sz w:val="18"/>
              </w:rPr>
              <w:t>Question Bank Manager</w:t>
            </w:r>
          </w:p>
        </w:tc>
        <w:tc>
          <w:tcPr>
            <w:tcW w:type="dxa" w:w="3655"/>
          </w:tcPr>
          <w:p>
            <w:r/>
            <w:r>
              <w:rPr>
                <w:sz w:val="18"/>
              </w:rPr>
              <w:t>Questions, options, tags, versioning of questions in use</w:t>
            </w:r>
          </w:p>
        </w:tc>
        <w:tc>
          <w:tcPr>
            <w:tcW w:type="dxa" w:w="2367"/>
          </w:tcPr>
          <w:p>
            <w:r/>
            <w:r>
              <w:rPr>
                <w:sz w:val="18"/>
              </w:rPr>
              <w:t>FR-007, FR-008, FR-009</w:t>
            </w:r>
          </w:p>
        </w:tc>
      </w:tr>
      <w:tr>
        <w:tc>
          <w:tcPr>
            <w:tcW w:type="dxa" w:w="1753"/>
          </w:tcPr>
          <w:p>
            <w:r/>
            <w:r>
              <w:rPr>
                <w:sz w:val="18"/>
              </w:rPr>
              <w:t>Business</w:t>
            </w:r>
          </w:p>
        </w:tc>
        <w:tc>
          <w:tcPr>
            <w:tcW w:type="dxa" w:w="2091"/>
          </w:tcPr>
          <w:p>
            <w:r/>
            <w:r>
              <w:rPr>
                <w:b/>
                <w:sz w:val="18"/>
              </w:rPr>
              <w:t>Exam Setup Manager</w:t>
            </w:r>
          </w:p>
        </w:tc>
        <w:tc>
          <w:tcPr>
            <w:tcW w:type="dxa" w:w="3655"/>
          </w:tcPr>
          <w:p>
            <w:r/>
            <w:r>
              <w:rPr>
                <w:sz w:val="18"/>
              </w:rPr>
              <w:t>Examination details and policy, question selection, Draft/Published state, schedule window</w:t>
            </w:r>
          </w:p>
        </w:tc>
        <w:tc>
          <w:tcPr>
            <w:tcW w:type="dxa" w:w="2367"/>
          </w:tcPr>
          <w:p>
            <w:r/>
            <w:r>
              <w:rPr>
                <w:sz w:val="18"/>
              </w:rPr>
              <w:t>FR-010–FR-013, NFR-010</w:t>
            </w:r>
          </w:p>
        </w:tc>
      </w:tr>
      <w:tr>
        <w:tc>
          <w:tcPr>
            <w:tcW w:type="dxa" w:w="1753"/>
          </w:tcPr>
          <w:p>
            <w:r/>
            <w:r>
              <w:rPr>
                <w:sz w:val="18"/>
              </w:rPr>
              <w:t>Business</w:t>
            </w:r>
          </w:p>
        </w:tc>
        <w:tc>
          <w:tcPr>
            <w:tcW w:type="dxa" w:w="2091"/>
          </w:tcPr>
          <w:p>
            <w:r/>
            <w:r>
              <w:rPr>
                <w:b/>
                <w:sz w:val="18"/>
              </w:rPr>
              <w:t>Attempt Session Manager</w:t>
            </w:r>
          </w:p>
        </w:tc>
        <w:tc>
          <w:tcPr>
            <w:tcW w:type="dxa" w:w="3655"/>
          </w:tcPr>
          <w:p>
            <w:r/>
            <w:r>
              <w:rPr>
                <w:sz w:val="18"/>
              </w:rPr>
              <w:t>Start attempt, server timer, answer-free paper payload, autosave, resume, submit and auto-submit</w:t>
            </w:r>
          </w:p>
        </w:tc>
        <w:tc>
          <w:tcPr>
            <w:tcW w:type="dxa" w:w="2367"/>
          </w:tcPr>
          <w:p>
            <w:r/>
            <w:r>
              <w:rPr>
                <w:sz w:val="18"/>
              </w:rPr>
              <w:t>FR-015–FR-021, FR-029</w:t>
            </w:r>
          </w:p>
        </w:tc>
      </w:tr>
      <w:tr>
        <w:tc>
          <w:tcPr>
            <w:tcW w:type="dxa" w:w="1753"/>
          </w:tcPr>
          <w:p>
            <w:r/>
            <w:r>
              <w:rPr>
                <w:sz w:val="18"/>
              </w:rPr>
              <w:t>Business</w:t>
            </w:r>
          </w:p>
        </w:tc>
        <w:tc>
          <w:tcPr>
            <w:tcW w:type="dxa" w:w="2091"/>
          </w:tcPr>
          <w:p>
            <w:r/>
            <w:r>
              <w:rPr>
                <w:b/>
                <w:sz w:val="18"/>
              </w:rPr>
              <w:t>Evaluation Engine</w:t>
            </w:r>
          </w:p>
        </w:tc>
        <w:tc>
          <w:tcPr>
            <w:tcW w:type="dxa" w:w="3655"/>
          </w:tcPr>
          <w:p>
            <w:r/>
            <w:r>
              <w:rPr>
                <w:sz w:val="18"/>
              </w:rPr>
              <w:t>Scores a submitted attempt: positive and negative marks, total, percentage, pass/fail</w:t>
            </w:r>
          </w:p>
        </w:tc>
        <w:tc>
          <w:tcPr>
            <w:tcW w:type="dxa" w:w="2367"/>
          </w:tcPr>
          <w:p>
            <w:r/>
            <w:r>
              <w:rPr>
                <w:sz w:val="18"/>
              </w:rPr>
              <w:t>FR-022, FR-023, FR-024</w:t>
            </w:r>
          </w:p>
        </w:tc>
      </w:tr>
      <w:tr>
        <w:tc>
          <w:tcPr>
            <w:tcW w:type="dxa" w:w="1753"/>
          </w:tcPr>
          <w:p>
            <w:r/>
            <w:r>
              <w:rPr>
                <w:sz w:val="18"/>
              </w:rPr>
              <w:t>Business</w:t>
            </w:r>
          </w:p>
        </w:tc>
        <w:tc>
          <w:tcPr>
            <w:tcW w:type="dxa" w:w="2091"/>
          </w:tcPr>
          <w:p>
            <w:r/>
            <w:r>
              <w:rPr>
                <w:b/>
                <w:sz w:val="18"/>
              </w:rPr>
              <w:t>Results Manager</w:t>
            </w:r>
          </w:p>
        </w:tc>
        <w:tc>
          <w:tcPr>
            <w:tcW w:type="dxa" w:w="3655"/>
          </w:tcPr>
          <w:p>
            <w:r/>
            <w:r>
              <w:rPr>
                <w:sz w:val="18"/>
              </w:rPr>
              <w:t>Withholds results until published; publish and unpublish; scorecards</w:t>
            </w:r>
          </w:p>
        </w:tc>
        <w:tc>
          <w:tcPr>
            <w:tcW w:type="dxa" w:w="2367"/>
          </w:tcPr>
          <w:p>
            <w:r/>
            <w:r>
              <w:rPr>
                <w:sz w:val="18"/>
              </w:rPr>
              <w:t>FR-025, FR-026, FR-027</w:t>
            </w:r>
          </w:p>
        </w:tc>
      </w:tr>
      <w:tr>
        <w:tc>
          <w:tcPr>
            <w:tcW w:type="dxa" w:w="1753"/>
          </w:tcPr>
          <w:p>
            <w:r/>
            <w:r>
              <w:rPr>
                <w:sz w:val="18"/>
              </w:rPr>
              <w:t>Business</w:t>
            </w:r>
          </w:p>
        </w:tc>
        <w:tc>
          <w:tcPr>
            <w:tcW w:type="dxa" w:w="2091"/>
          </w:tcPr>
          <w:p>
            <w:r/>
            <w:r>
              <w:rPr>
                <w:b/>
                <w:sz w:val="18"/>
              </w:rPr>
              <w:t>Integrity &amp; Audit Monitor</w:t>
            </w:r>
          </w:p>
        </w:tc>
        <w:tc>
          <w:tcPr>
            <w:tcW w:type="dxa" w:w="3655"/>
          </w:tcPr>
          <w:p>
            <w:r/>
            <w:r>
              <w:rPr>
                <w:sz w:val="18"/>
              </w:rPr>
              <w:t>Records focus-loss events; shows events and the audit trail to Faculty and Administrators</w:t>
            </w:r>
          </w:p>
        </w:tc>
        <w:tc>
          <w:tcPr>
            <w:tcW w:type="dxa" w:w="2367"/>
          </w:tcPr>
          <w:p>
            <w:r/>
            <w:r>
              <w:rPr>
                <w:sz w:val="18"/>
              </w:rPr>
              <w:t>FR-028, FR-030</w:t>
            </w:r>
          </w:p>
        </w:tc>
      </w:tr>
      <w:tr>
        <w:tc>
          <w:tcPr>
            <w:tcW w:type="dxa" w:w="1753"/>
          </w:tcPr>
          <w:p>
            <w:r/>
            <w:r>
              <w:rPr>
                <w:sz w:val="18"/>
              </w:rPr>
              <w:t>Data</w:t>
            </w:r>
          </w:p>
        </w:tc>
        <w:tc>
          <w:tcPr>
            <w:tcW w:type="dxa" w:w="2091"/>
          </w:tcPr>
          <w:p>
            <w:r/>
            <w:r>
              <w:rPr>
                <w:b/>
                <w:sz w:val="18"/>
              </w:rPr>
              <w:t>Exam Repository</w:t>
            </w:r>
          </w:p>
        </w:tc>
        <w:tc>
          <w:tcPr>
            <w:tcW w:type="dxa" w:w="3655"/>
          </w:tcPr>
          <w:p>
            <w:r/>
            <w:r>
              <w:rPr>
                <w:sz w:val="18"/>
              </w:rPr>
              <w:t>Django ORM models over the database; writes the append-only audit entry on every change</w:t>
            </w:r>
          </w:p>
        </w:tc>
        <w:tc>
          <w:tcPr>
            <w:tcW w:type="dxa" w:w="2367"/>
          </w:tcPr>
          <w:p>
            <w:r/>
            <w:r>
              <w:rPr>
                <w:sz w:val="18"/>
              </w:rPr>
              <w:t>FR-030, NFR-013</w:t>
            </w:r>
          </w:p>
        </w:tc>
      </w:tr>
    </w:tbl>
    <w:p/>
    <w:p>
      <w:pPr>
        <w:pStyle w:val="Heading2"/>
      </w:pPr>
      <w:r>
        <w:t>3.2 Interfaces</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2469"/>
            <w:shd w:val="clear" w:color="auto" w:fill="D9E2F3"/>
          </w:tcPr>
          <w:p>
            <w:r>
              <w:rPr>
                <w:b/>
              </w:rPr>
            </w:r>
            <w:r>
              <w:rPr>
                <w:b/>
                <w:sz w:val="18"/>
              </w:rPr>
              <w:t>Interface</w:t>
            </w:r>
          </w:p>
        </w:tc>
        <w:tc>
          <w:tcPr>
            <w:tcW w:type="dxa" w:w="2289"/>
            <w:shd w:val="clear" w:color="auto" w:fill="D9E2F3"/>
          </w:tcPr>
          <w:p>
            <w:r>
              <w:rPr>
                <w:b/>
              </w:rPr>
            </w:r>
            <w:r>
              <w:rPr>
                <w:b/>
                <w:sz w:val="18"/>
              </w:rPr>
              <w:t>Provided by</w:t>
            </w:r>
          </w:p>
        </w:tc>
        <w:tc>
          <w:tcPr>
            <w:tcW w:type="dxa" w:w="2759"/>
            <w:shd w:val="clear" w:color="auto" w:fill="D9E2F3"/>
          </w:tcPr>
          <w:p>
            <w:r>
              <w:rPr>
                <w:b/>
              </w:rPr>
            </w:r>
            <w:r>
              <w:rPr>
                <w:b/>
                <w:sz w:val="18"/>
              </w:rPr>
              <w:t>Required by</w:t>
            </w:r>
          </w:p>
        </w:tc>
        <w:tc>
          <w:tcPr>
            <w:tcW w:type="dxa" w:w="2349"/>
            <w:shd w:val="clear" w:color="auto" w:fill="D9E2F3"/>
          </w:tcPr>
          <w:p>
            <w:r>
              <w:rPr>
                <w:b/>
              </w:rPr>
            </w:r>
            <w:r>
              <w:rPr>
                <w:b/>
                <w:sz w:val="18"/>
              </w:rPr>
              <w:t>Kind</w:t>
            </w:r>
          </w:p>
        </w:tc>
      </w:tr>
      <w:tr>
        <w:tc>
          <w:tcPr>
            <w:tcW w:type="dxa" w:w="2469"/>
          </w:tcPr>
          <w:p>
            <w:r/>
            <w:r>
              <w:rPr>
                <w:rFonts w:ascii="Consolas" w:hAnsi="Consolas"/>
                <w:sz w:val="18"/>
              </w:rPr>
              <w:t>IAuth</w:t>
            </w:r>
          </w:p>
        </w:tc>
        <w:tc>
          <w:tcPr>
            <w:tcW w:type="dxa" w:w="2289"/>
          </w:tcPr>
          <w:p>
            <w:r/>
            <w:r>
              <w:rPr>
                <w:sz w:val="18"/>
              </w:rPr>
              <w:t>Identity &amp; Enrollment Mgr</w:t>
            </w:r>
          </w:p>
        </w:tc>
        <w:tc>
          <w:tcPr>
            <w:tcW w:type="dxa" w:w="2759"/>
          </w:tcPr>
          <w:p>
            <w:r/>
            <w:r>
              <w:rPr>
                <w:sz w:val="18"/>
              </w:rPr>
              <w:t>Student Exam Client, Faculty &amp; Admin Console</w:t>
            </w:r>
          </w:p>
        </w:tc>
        <w:tc>
          <w:tcPr>
            <w:tcW w:type="dxa" w:w="2349"/>
          </w:tcPr>
          <w:p>
            <w:r/>
            <w:r>
              <w:rPr>
                <w:sz w:val="18"/>
              </w:rPr>
              <w:t>HTTP view</w:t>
            </w:r>
          </w:p>
        </w:tc>
      </w:tr>
      <w:tr>
        <w:tc>
          <w:tcPr>
            <w:tcW w:type="dxa" w:w="2469"/>
          </w:tcPr>
          <w:p>
            <w:r/>
            <w:r>
              <w:rPr>
                <w:rFonts w:ascii="Consolas" w:hAnsi="Consolas"/>
                <w:sz w:val="18"/>
              </w:rPr>
              <w:t>IEnrollment</w:t>
            </w:r>
          </w:p>
        </w:tc>
        <w:tc>
          <w:tcPr>
            <w:tcW w:type="dxa" w:w="2289"/>
          </w:tcPr>
          <w:p>
            <w:r/>
            <w:r>
              <w:rPr>
                <w:sz w:val="18"/>
              </w:rPr>
              <w:t>Identity &amp; Enrollment Mgr</w:t>
            </w:r>
          </w:p>
        </w:tc>
        <w:tc>
          <w:tcPr>
            <w:tcW w:type="dxa" w:w="2759"/>
          </w:tcPr>
          <w:p>
            <w:r/>
            <w:r>
              <w:rPr>
                <w:sz w:val="18"/>
              </w:rPr>
              <w:t>Faculty &amp; Admin Console</w:t>
            </w:r>
          </w:p>
        </w:tc>
        <w:tc>
          <w:tcPr>
            <w:tcW w:type="dxa" w:w="2349"/>
          </w:tcPr>
          <w:p>
            <w:r/>
            <w:r>
              <w:rPr>
                <w:sz w:val="18"/>
              </w:rPr>
              <w:t>HTTP view</w:t>
            </w:r>
          </w:p>
        </w:tc>
      </w:tr>
      <w:tr>
        <w:tc>
          <w:tcPr>
            <w:tcW w:type="dxa" w:w="2469"/>
          </w:tcPr>
          <w:p>
            <w:r/>
            <w:r>
              <w:rPr>
                <w:rFonts w:ascii="Consolas" w:hAnsi="Consolas"/>
                <w:sz w:val="18"/>
              </w:rPr>
              <w:t>IQuestionBank</w:t>
            </w:r>
          </w:p>
        </w:tc>
        <w:tc>
          <w:tcPr>
            <w:tcW w:type="dxa" w:w="2289"/>
          </w:tcPr>
          <w:p>
            <w:r/>
            <w:r>
              <w:rPr>
                <w:sz w:val="18"/>
              </w:rPr>
              <w:t>Question Bank Mgr</w:t>
            </w:r>
          </w:p>
        </w:tc>
        <w:tc>
          <w:tcPr>
            <w:tcW w:type="dxa" w:w="2759"/>
          </w:tcPr>
          <w:p>
            <w:r/>
            <w:r>
              <w:rPr>
                <w:sz w:val="18"/>
              </w:rPr>
              <w:t>Faculty &amp; Admin Console</w:t>
            </w:r>
          </w:p>
        </w:tc>
        <w:tc>
          <w:tcPr>
            <w:tcW w:type="dxa" w:w="2349"/>
          </w:tcPr>
          <w:p>
            <w:r/>
            <w:r>
              <w:rPr>
                <w:sz w:val="18"/>
              </w:rPr>
              <w:t>HTTP view</w:t>
            </w:r>
          </w:p>
        </w:tc>
      </w:tr>
      <w:tr>
        <w:tc>
          <w:tcPr>
            <w:tcW w:type="dxa" w:w="2469"/>
          </w:tcPr>
          <w:p>
            <w:r/>
            <w:r>
              <w:rPr>
                <w:rFonts w:ascii="Consolas" w:hAnsi="Consolas"/>
                <w:sz w:val="18"/>
              </w:rPr>
              <w:t>IExamSetup</w:t>
            </w:r>
          </w:p>
        </w:tc>
        <w:tc>
          <w:tcPr>
            <w:tcW w:type="dxa" w:w="2289"/>
          </w:tcPr>
          <w:p>
            <w:r/>
            <w:r>
              <w:rPr>
                <w:sz w:val="18"/>
              </w:rPr>
              <w:t>Exam Setup Mgr</w:t>
            </w:r>
          </w:p>
        </w:tc>
        <w:tc>
          <w:tcPr>
            <w:tcW w:type="dxa" w:w="2759"/>
          </w:tcPr>
          <w:p>
            <w:r/>
            <w:r>
              <w:rPr>
                <w:sz w:val="18"/>
              </w:rPr>
              <w:t>Faculty &amp; Admin Console</w:t>
            </w:r>
          </w:p>
        </w:tc>
        <w:tc>
          <w:tcPr>
            <w:tcW w:type="dxa" w:w="2349"/>
          </w:tcPr>
          <w:p>
            <w:r/>
            <w:r>
              <w:rPr>
                <w:sz w:val="18"/>
              </w:rPr>
              <w:t>HTTP view</w:t>
            </w:r>
          </w:p>
        </w:tc>
      </w:tr>
      <w:tr>
        <w:tc>
          <w:tcPr>
            <w:tcW w:type="dxa" w:w="2469"/>
          </w:tcPr>
          <w:p>
            <w:r/>
            <w:r>
              <w:rPr>
                <w:rFonts w:ascii="Consolas" w:hAnsi="Consolas"/>
                <w:sz w:val="18"/>
              </w:rPr>
              <w:t>IAttempt</w:t>
            </w:r>
          </w:p>
        </w:tc>
        <w:tc>
          <w:tcPr>
            <w:tcW w:type="dxa" w:w="2289"/>
          </w:tcPr>
          <w:p>
            <w:r/>
            <w:r>
              <w:rPr>
                <w:sz w:val="18"/>
              </w:rPr>
              <w:t>Attempt Session Mgr</w:t>
            </w:r>
          </w:p>
        </w:tc>
        <w:tc>
          <w:tcPr>
            <w:tcW w:type="dxa" w:w="2759"/>
          </w:tcPr>
          <w:p>
            <w:r/>
            <w:r>
              <w:rPr>
                <w:sz w:val="18"/>
              </w:rPr>
              <w:t>Student Exam Client</w:t>
            </w:r>
          </w:p>
        </w:tc>
        <w:tc>
          <w:tcPr>
            <w:tcW w:type="dxa" w:w="2349"/>
          </w:tcPr>
          <w:p>
            <w:r/>
            <w:r>
              <w:rPr>
                <w:sz w:val="18"/>
              </w:rPr>
              <w:t>HTTP view + JSON endpoints (autosave, timer)</w:t>
            </w:r>
          </w:p>
        </w:tc>
      </w:tr>
      <w:tr>
        <w:tc>
          <w:tcPr>
            <w:tcW w:type="dxa" w:w="2469"/>
          </w:tcPr>
          <w:p>
            <w:r/>
            <w:r>
              <w:rPr>
                <w:rFonts w:ascii="Consolas" w:hAnsi="Consolas"/>
                <w:sz w:val="18"/>
              </w:rPr>
              <w:t>IIntegrity</w:t>
            </w:r>
          </w:p>
        </w:tc>
        <w:tc>
          <w:tcPr>
            <w:tcW w:type="dxa" w:w="2289"/>
          </w:tcPr>
          <w:p>
            <w:r/>
            <w:r>
              <w:rPr>
                <w:sz w:val="18"/>
              </w:rPr>
              <w:t>Integrity &amp; Audit Monitor</w:t>
            </w:r>
          </w:p>
        </w:tc>
        <w:tc>
          <w:tcPr>
            <w:tcW w:type="dxa" w:w="2759"/>
          </w:tcPr>
          <w:p>
            <w:r/>
            <w:r>
              <w:rPr>
                <w:sz w:val="18"/>
              </w:rPr>
              <w:t>Student Exam Client (report events), Faculty &amp; Admin Console (view)</w:t>
            </w:r>
          </w:p>
        </w:tc>
        <w:tc>
          <w:tcPr>
            <w:tcW w:type="dxa" w:w="2349"/>
          </w:tcPr>
          <w:p>
            <w:r/>
            <w:r>
              <w:rPr>
                <w:sz w:val="18"/>
              </w:rPr>
              <w:t>HTTP view + JSON endpoint</w:t>
            </w:r>
          </w:p>
        </w:tc>
      </w:tr>
      <w:tr>
        <w:tc>
          <w:tcPr>
            <w:tcW w:type="dxa" w:w="2469"/>
          </w:tcPr>
          <w:p>
            <w:r/>
            <w:r>
              <w:rPr>
                <w:rFonts w:ascii="Consolas" w:hAnsi="Consolas"/>
                <w:sz w:val="18"/>
              </w:rPr>
              <w:t>IResults</w:t>
            </w:r>
          </w:p>
        </w:tc>
        <w:tc>
          <w:tcPr>
            <w:tcW w:type="dxa" w:w="2289"/>
          </w:tcPr>
          <w:p>
            <w:r/>
            <w:r>
              <w:rPr>
                <w:sz w:val="18"/>
              </w:rPr>
              <w:t>Results Mgr</w:t>
            </w:r>
          </w:p>
        </w:tc>
        <w:tc>
          <w:tcPr>
            <w:tcW w:type="dxa" w:w="2759"/>
          </w:tcPr>
          <w:p>
            <w:r/>
            <w:r>
              <w:rPr>
                <w:sz w:val="18"/>
              </w:rPr>
              <w:t>Student Exam Client, Faculty &amp; Admin Console</w:t>
            </w:r>
          </w:p>
        </w:tc>
        <w:tc>
          <w:tcPr>
            <w:tcW w:type="dxa" w:w="2349"/>
          </w:tcPr>
          <w:p>
            <w:r/>
            <w:r>
              <w:rPr>
                <w:sz w:val="18"/>
              </w:rPr>
              <w:t>HTTP view</w:t>
            </w:r>
          </w:p>
        </w:tc>
      </w:tr>
      <w:tr>
        <w:tc>
          <w:tcPr>
            <w:tcW w:type="dxa" w:w="2469"/>
          </w:tcPr>
          <w:p>
            <w:r/>
            <w:r>
              <w:rPr>
                <w:rFonts w:ascii="Consolas" w:hAnsi="Consolas"/>
                <w:sz w:val="18"/>
              </w:rPr>
              <w:t>IEligibility</w:t>
            </w:r>
          </w:p>
        </w:tc>
        <w:tc>
          <w:tcPr>
            <w:tcW w:type="dxa" w:w="2289"/>
          </w:tcPr>
          <w:p>
            <w:r/>
            <w:r>
              <w:rPr>
                <w:sz w:val="18"/>
              </w:rPr>
              <w:t>Identity &amp; Enrollment Mgr</w:t>
            </w:r>
          </w:p>
        </w:tc>
        <w:tc>
          <w:tcPr>
            <w:tcW w:type="dxa" w:w="2759"/>
          </w:tcPr>
          <w:p>
            <w:r/>
            <w:r>
              <w:rPr>
                <w:sz w:val="18"/>
              </w:rPr>
              <w:t>Attempt Session Mgr</w:t>
            </w:r>
          </w:p>
        </w:tc>
        <w:tc>
          <w:tcPr>
            <w:tcW w:type="dxa" w:w="2349"/>
          </w:tcPr>
          <w:p>
            <w:r/>
            <w:r>
              <w:rPr>
                <w:sz w:val="18"/>
              </w:rPr>
              <w:t>In-process call</w:t>
            </w:r>
          </w:p>
        </w:tc>
      </w:tr>
      <w:tr>
        <w:tc>
          <w:tcPr>
            <w:tcW w:type="dxa" w:w="2469"/>
          </w:tcPr>
          <w:p>
            <w:r/>
            <w:r>
              <w:rPr>
                <w:rFonts w:ascii="Consolas" w:hAnsi="Consolas"/>
                <w:sz w:val="18"/>
              </w:rPr>
              <w:t>IExamSchedule</w:t>
            </w:r>
          </w:p>
        </w:tc>
        <w:tc>
          <w:tcPr>
            <w:tcW w:type="dxa" w:w="2289"/>
          </w:tcPr>
          <w:p>
            <w:r/>
            <w:r>
              <w:rPr>
                <w:sz w:val="18"/>
              </w:rPr>
              <w:t>Exam Setup Mgr</w:t>
            </w:r>
          </w:p>
        </w:tc>
        <w:tc>
          <w:tcPr>
            <w:tcW w:type="dxa" w:w="2759"/>
          </w:tcPr>
          <w:p>
            <w:r/>
            <w:r>
              <w:rPr>
                <w:sz w:val="18"/>
              </w:rPr>
              <w:t>Attempt Session Mgr</w:t>
            </w:r>
          </w:p>
        </w:tc>
        <w:tc>
          <w:tcPr>
            <w:tcW w:type="dxa" w:w="2349"/>
          </w:tcPr>
          <w:p>
            <w:r/>
            <w:r>
              <w:rPr>
                <w:sz w:val="18"/>
              </w:rPr>
              <w:t>In-process call</w:t>
            </w:r>
          </w:p>
        </w:tc>
      </w:tr>
      <w:tr>
        <w:tc>
          <w:tcPr>
            <w:tcW w:type="dxa" w:w="2469"/>
          </w:tcPr>
          <w:p>
            <w:r/>
            <w:r>
              <w:rPr>
                <w:rFonts w:ascii="Consolas" w:hAnsi="Consolas"/>
                <w:sz w:val="18"/>
              </w:rPr>
              <w:t>IQuestionSource</w:t>
            </w:r>
          </w:p>
        </w:tc>
        <w:tc>
          <w:tcPr>
            <w:tcW w:type="dxa" w:w="2289"/>
          </w:tcPr>
          <w:p>
            <w:r/>
            <w:r>
              <w:rPr>
                <w:sz w:val="18"/>
              </w:rPr>
              <w:t>Question Bank Mgr</w:t>
            </w:r>
          </w:p>
        </w:tc>
        <w:tc>
          <w:tcPr>
            <w:tcW w:type="dxa" w:w="2759"/>
          </w:tcPr>
          <w:p>
            <w:r/>
            <w:r>
              <w:rPr>
                <w:sz w:val="18"/>
              </w:rPr>
              <w:t>Exam Setup Mgr</w:t>
            </w:r>
          </w:p>
        </w:tc>
        <w:tc>
          <w:tcPr>
            <w:tcW w:type="dxa" w:w="2349"/>
          </w:tcPr>
          <w:p>
            <w:r/>
            <w:r>
              <w:rPr>
                <w:sz w:val="18"/>
              </w:rPr>
              <w:t>In-process call</w:t>
            </w:r>
          </w:p>
        </w:tc>
      </w:tr>
      <w:tr>
        <w:tc>
          <w:tcPr>
            <w:tcW w:type="dxa" w:w="2469"/>
          </w:tcPr>
          <w:p>
            <w:r/>
            <w:r>
              <w:rPr>
                <w:rFonts w:ascii="Consolas" w:hAnsi="Consolas"/>
                <w:sz w:val="18"/>
              </w:rPr>
              <w:t>IEvaluation</w:t>
            </w:r>
          </w:p>
        </w:tc>
        <w:tc>
          <w:tcPr>
            <w:tcW w:type="dxa" w:w="2289"/>
          </w:tcPr>
          <w:p>
            <w:r/>
            <w:r>
              <w:rPr>
                <w:sz w:val="18"/>
              </w:rPr>
              <w:t>Evaluation Engine</w:t>
            </w:r>
          </w:p>
        </w:tc>
        <w:tc>
          <w:tcPr>
            <w:tcW w:type="dxa" w:w="2759"/>
          </w:tcPr>
          <w:p>
            <w:r/>
            <w:r>
              <w:rPr>
                <w:sz w:val="18"/>
              </w:rPr>
              <w:t>Attempt Session Mgr</w:t>
            </w:r>
          </w:p>
        </w:tc>
        <w:tc>
          <w:tcPr>
            <w:tcW w:type="dxa" w:w="2349"/>
          </w:tcPr>
          <w:p>
            <w:r/>
            <w:r>
              <w:rPr>
                <w:sz w:val="18"/>
              </w:rPr>
              <w:t>In-process call, same transaction as submission</w:t>
            </w:r>
          </w:p>
        </w:tc>
      </w:tr>
      <w:tr>
        <w:tc>
          <w:tcPr>
            <w:tcW w:type="dxa" w:w="2469"/>
          </w:tcPr>
          <w:p>
            <w:r/>
            <w:r>
              <w:rPr>
                <w:rFonts w:ascii="Consolas" w:hAnsi="Consolas"/>
                <w:sz w:val="18"/>
              </w:rPr>
              <w:t>IRepository</w:t>
            </w:r>
          </w:p>
        </w:tc>
        <w:tc>
          <w:tcPr>
            <w:tcW w:type="dxa" w:w="2289"/>
          </w:tcPr>
          <w:p>
            <w:r/>
            <w:r>
              <w:rPr>
                <w:sz w:val="18"/>
              </w:rPr>
              <w:t>Exam Repository</w:t>
            </w:r>
          </w:p>
        </w:tc>
        <w:tc>
          <w:tcPr>
            <w:tcW w:type="dxa" w:w="2759"/>
          </w:tcPr>
          <w:p>
            <w:r/>
            <w:r>
              <w:rPr>
                <w:sz w:val="18"/>
              </w:rPr>
              <w:t>all seven Business components</w:t>
            </w:r>
          </w:p>
        </w:tc>
        <w:tc>
          <w:tcPr>
            <w:tcW w:type="dxa" w:w="2349"/>
          </w:tcPr>
          <w:p>
            <w:r/>
            <w:r>
              <w:rPr>
                <w:sz w:val="18"/>
              </w:rPr>
              <w:t>Django ORM</w:t>
            </w:r>
          </w:p>
        </w:tc>
      </w:tr>
    </w:tbl>
    <w:p/>
    <w:p>
      <w:pPr>
        <w:spacing w:after="160"/>
      </w:pPr>
      <w:r>
        <w:t xml:space="preserve">Count: 7 Presentation→Business, 4 Business→Business, 1 Business→Data. Nothing in the Presentation layer requires </w:t>
      </w:r>
      <w:r>
        <w:rPr>
          <w:rFonts w:ascii="Consolas" w:hAnsi="Consolas"/>
        </w:rPr>
        <w:t>IRepository</w:t>
      </w:r>
      <w:r>
        <w:t>.</w:t>
      </w:r>
    </w:p>
    <w:p>
      <w:pPr>
        <w:pStyle w:val="Heading1"/>
      </w:pPr>
      <w:r>
        <w:t>4. Technology stack</w:t>
      </w:r>
    </w:p>
    <w:tbl>
      <w:tblPr>
        <w:tblStyle w:val="TableGrid"/>
        <w:tblW w:type="auto" w:w="0"/>
        <w:tblLayout w:type="fixed"/>
        <w:tblLook w:firstColumn="1" w:firstRow="1" w:lastColumn="0" w:lastRow="0" w:noHBand="0" w:noVBand="1" w:val="04A0"/>
      </w:tblPr>
      <w:tblGrid>
        <w:gridCol w:w="3289"/>
        <w:gridCol w:w="3289"/>
        <w:gridCol w:w="3289"/>
      </w:tblGrid>
      <w:tr>
        <w:trPr>
          <w:tblHeader w:val="true"/>
        </w:trPr>
        <w:tc>
          <w:tcPr>
            <w:tcW w:type="dxa" w:w="1827"/>
            <w:shd w:val="clear" w:color="auto" w:fill="D9E2F3"/>
          </w:tcPr>
          <w:p>
            <w:r>
              <w:rPr>
                <w:b/>
              </w:rPr>
            </w:r>
            <w:r>
              <w:rPr>
                <w:b/>
                <w:sz w:val="18"/>
              </w:rPr>
              <w:t>Layer</w:t>
            </w:r>
          </w:p>
        </w:tc>
        <w:tc>
          <w:tcPr>
            <w:tcW w:type="dxa" w:w="3601"/>
            <w:shd w:val="clear" w:color="auto" w:fill="D9E2F3"/>
          </w:tcPr>
          <w:p>
            <w:r>
              <w:rPr>
                <w:b/>
              </w:rPr>
            </w:r>
            <w:r>
              <w:rPr>
                <w:b/>
                <w:sz w:val="18"/>
              </w:rPr>
              <w:t>Technology</w:t>
            </w:r>
          </w:p>
        </w:tc>
        <w:tc>
          <w:tcPr>
            <w:tcW w:type="dxa" w:w="4438"/>
            <w:shd w:val="clear" w:color="auto" w:fill="D9E2F3"/>
          </w:tcPr>
          <w:p>
            <w:r>
              <w:rPr>
                <w:b/>
              </w:rPr>
            </w:r>
            <w:r>
              <w:rPr>
                <w:b/>
                <w:sz w:val="18"/>
              </w:rPr>
              <w:t>Why</w:t>
            </w:r>
          </w:p>
        </w:tc>
      </w:tr>
      <w:tr>
        <w:tc>
          <w:tcPr>
            <w:tcW w:type="dxa" w:w="1827"/>
          </w:tcPr>
          <w:p>
            <w:r/>
            <w:r>
              <w:rPr>
                <w:sz w:val="18"/>
              </w:rPr>
              <w:t>Presentation</w:t>
            </w:r>
          </w:p>
        </w:tc>
        <w:tc>
          <w:tcPr>
            <w:tcW w:type="dxa" w:w="3601"/>
          </w:tcPr>
          <w:p>
            <w:r/>
            <w:r>
              <w:rPr>
                <w:sz w:val="18"/>
              </w:rPr>
              <w:t xml:space="preserve">Django templates, HTML/CSS, plain JavaScript (timer display, autosave every ≤ 5 s, </w:t>
            </w:r>
            <w:r>
              <w:rPr>
                <w:rFonts w:ascii="Consolas" w:hAnsi="Consolas"/>
                <w:sz w:val="18"/>
              </w:rPr>
              <w:t>visibilitychange</w:t>
            </w:r>
            <w:r>
              <w:rPr>
                <w:sz w:val="18"/>
              </w:rPr>
              <w:t xml:space="preserve"> listener)</w:t>
            </w:r>
          </w:p>
        </w:tc>
        <w:tc>
          <w:tcPr>
            <w:tcW w:type="dxa" w:w="4438"/>
          </w:tcPr>
          <w:p>
            <w:r/>
            <w:r>
              <w:rPr>
                <w:sz w:val="18"/>
              </w:rPr>
              <w:t>Server-rendered pages keep the answer key server-side by default; no separate front-end build</w:t>
            </w:r>
          </w:p>
        </w:tc>
      </w:tr>
      <w:tr>
        <w:tc>
          <w:tcPr>
            <w:tcW w:type="dxa" w:w="1827"/>
          </w:tcPr>
          <w:p>
            <w:r/>
            <w:r>
              <w:rPr>
                <w:sz w:val="18"/>
              </w:rPr>
              <w:t>Business</w:t>
            </w:r>
          </w:p>
        </w:tc>
        <w:tc>
          <w:tcPr>
            <w:tcW w:type="dxa" w:w="3601"/>
          </w:tcPr>
          <w:p>
            <w:r/>
            <w:r>
              <w:rPr>
                <w:sz w:val="18"/>
              </w:rPr>
              <w:t>Django 5 (Python 3.12) — one Django app per Business component</w:t>
            </w:r>
          </w:p>
        </w:tc>
        <w:tc>
          <w:tcPr>
            <w:tcW w:type="dxa" w:w="4438"/>
          </w:tcPr>
          <w:p>
            <w:r/>
            <w:r>
              <w:rPr>
                <w:sz w:val="18"/>
              </w:rPr>
              <w:t>Built-in authentication, password hashing (NFR-011), CSRF protection and ORM (NFR-013), and the admin site for course setup</w:t>
            </w:r>
          </w:p>
        </w:tc>
      </w:tr>
      <w:tr>
        <w:tc>
          <w:tcPr>
            <w:tcW w:type="dxa" w:w="1827"/>
          </w:tcPr>
          <w:p>
            <w:r/>
            <w:r>
              <w:rPr>
                <w:sz w:val="18"/>
              </w:rPr>
              <w:t>Data</w:t>
            </w:r>
          </w:p>
        </w:tc>
        <w:tc>
          <w:tcPr>
            <w:tcW w:type="dxa" w:w="3601"/>
          </w:tcPr>
          <w:p>
            <w:r/>
            <w:r>
              <w:rPr>
                <w:sz w:val="18"/>
              </w:rPr>
              <w:t>Django ORM over SQLite</w:t>
            </w:r>
          </w:p>
        </w:tc>
        <w:tc>
          <w:tcPr>
            <w:tcW w:type="dxa" w:w="4438"/>
          </w:tcPr>
          <w:p>
            <w:r/>
            <w:r>
              <w:rPr>
                <w:sz w:val="18"/>
              </w:rPr>
              <w:t>Relational data — enrollment, attempts and scores — in one file database; the ORM keeps a later move to PostgreSQL a settings change</w:t>
            </w:r>
          </w:p>
        </w:tc>
      </w:tr>
      <w:tr>
        <w:tc>
          <w:tcPr>
            <w:tcW w:type="dxa" w:w="1827"/>
          </w:tcPr>
          <w:p>
            <w:r/>
            <w:r>
              <w:rPr>
                <w:sz w:val="18"/>
              </w:rPr>
              <w:t>Automation</w:t>
            </w:r>
          </w:p>
        </w:tc>
        <w:tc>
          <w:tcPr>
            <w:tcW w:type="dxa" w:w="3601"/>
          </w:tcPr>
          <w:p>
            <w:r/>
            <w:r>
              <w:rPr>
                <w:sz w:val="18"/>
              </w:rPr>
              <w:t xml:space="preserve">GitHub Actions — runs </w:t>
            </w:r>
            <w:r>
              <w:rPr>
                <w:rFonts w:ascii="Consolas" w:hAnsi="Consolas"/>
                <w:sz w:val="18"/>
              </w:rPr>
              <w:t>python manage.py test</w:t>
            </w:r>
            <w:r>
              <w:rPr>
                <w:sz w:val="18"/>
              </w:rPr>
              <w:t xml:space="preserve"> on every push and pull request</w:t>
            </w:r>
          </w:p>
        </w:tc>
        <w:tc>
          <w:tcPr>
            <w:tcW w:type="dxa" w:w="4438"/>
          </w:tcPr>
          <w:p>
            <w:r/>
            <w:r>
              <w:rPr>
                <w:sz w:val="18"/>
              </w:rPr>
              <w:t>Course requirement (Sprint 1); a failing test blocks the merge</w:t>
            </w:r>
          </w:p>
        </w:tc>
      </w:tr>
    </w:tbl>
    <w:p/>
    <w:p>
      <w:pPr>
        <w:spacing w:after="160"/>
      </w:pPr>
      <w:r>
        <w:rPr>
          <w:b/>
        </w:rPr>
        <w:t>Auto-submission without a background worker.</w:t>
      </w:r>
      <w:r>
        <w:t xml:space="preserve"> An expired attempt is submitted and evaluated the first time any request touches it, and a </w:t>
      </w:r>
      <w:r>
        <w:rPr>
          <w:rFonts w:ascii="Consolas" w:hAnsi="Consolas"/>
        </w:rPr>
        <w:t>close_expired_attempts</w:t>
      </w:r>
      <w:r>
        <w:t xml:space="preserve"> management command, run every minute by cron, catches attempts that nobody touches (FR-020, FR-022). This avoids a task queue the system does not otherwise need.</w:t>
      </w:r>
    </w:p>
    <w:p>
      <w:pPr>
        <w:pStyle w:val="Heading1"/>
      </w:pPr>
      <w:r>
        <w:t>5. Deployment</w:t>
      </w:r>
    </w:p>
    <w:p>
      <w:pPr>
        <w:spacing w:after="160"/>
      </w:pPr>
      <w:r>
        <w:t xml:space="preserve">One Linux virtual machine runs the Django application under Gunicorn behind Nginx (HTTPS), with the SQLite database file on the same machine and its clock synchronised by NTP. Secrets such as </w:t>
      </w:r>
      <w:r>
        <w:rPr>
          <w:rFonts w:ascii="Consolas" w:hAnsi="Consolas"/>
        </w:rPr>
        <w:t>SECRET_KEY</w:t>
      </w:r>
      <w:r>
        <w:t xml:space="preserve"> come from environment variables, never from the repository (NFR-014). After a restart the service is back within 60 seconds and every attempt resumes from its stored start time and saved responses (NFR-004).</w:t>
      </w:r>
    </w:p>
    <w:p>
      <w:pPr>
        <w:pStyle w:val="Heading1"/>
      </w:pPr>
      <w:r>
        <w:t>6. Known limits</w:t>
      </w:r>
    </w:p>
    <w:tbl>
      <w:tblPr>
        <w:tblStyle w:val="TableGrid"/>
        <w:tblW w:type="auto" w:w="0"/>
        <w:tblLayout w:type="fixed"/>
        <w:tblLook w:firstColumn="1" w:firstRow="1" w:lastColumn="0" w:lastRow="0" w:noHBand="0" w:noVBand="1" w:val="04A0"/>
      </w:tblPr>
      <w:tblGrid>
        <w:gridCol w:w="3289"/>
        <w:gridCol w:w="3289"/>
        <w:gridCol w:w="3289"/>
      </w:tblGrid>
      <w:tr>
        <w:trPr>
          <w:tblHeader w:val="true"/>
        </w:trPr>
        <w:tc>
          <w:tcPr>
            <w:tcW w:type="dxa" w:w="1921"/>
            <w:shd w:val="clear" w:color="auto" w:fill="D9E2F3"/>
          </w:tcPr>
          <w:p>
            <w:r>
              <w:rPr>
                <w:b/>
              </w:rPr>
            </w:r>
            <w:r>
              <w:rPr>
                <w:b/>
                <w:sz w:val="18"/>
              </w:rPr>
              <w:t>Limit</w:t>
            </w:r>
          </w:p>
        </w:tc>
        <w:tc>
          <w:tcPr>
            <w:tcW w:type="dxa" w:w="4673"/>
            <w:shd w:val="clear" w:color="auto" w:fill="D9E2F3"/>
          </w:tcPr>
          <w:p>
            <w:r>
              <w:rPr>
                <w:b/>
              </w:rPr>
            </w:r>
            <w:r>
              <w:rPr>
                <w:b/>
                <w:sz w:val="18"/>
              </w:rPr>
              <w:t>Accepted because</w:t>
            </w:r>
          </w:p>
        </w:tc>
        <w:tc>
          <w:tcPr>
            <w:tcW w:type="dxa" w:w="3272"/>
            <w:shd w:val="clear" w:color="auto" w:fill="D9E2F3"/>
          </w:tcPr>
          <w:p>
            <w:r>
              <w:rPr>
                <w:b/>
              </w:rPr>
            </w:r>
            <w:r>
              <w:rPr>
                <w:b/>
                <w:sz w:val="18"/>
              </w:rPr>
              <w:t>Upgrade path</w:t>
            </w:r>
          </w:p>
        </w:tc>
      </w:tr>
      <w:tr>
        <w:tc>
          <w:tcPr>
            <w:tcW w:type="dxa" w:w="1921"/>
          </w:tcPr>
          <w:p>
            <w:r/>
            <w:r>
              <w:rPr>
                <w:sz w:val="18"/>
              </w:rPr>
              <w:t>Single server — a single point of failure</w:t>
            </w:r>
          </w:p>
        </w:tc>
        <w:tc>
          <w:tcPr>
            <w:tcW w:type="dxa" w:w="4673"/>
          </w:tcPr>
          <w:p>
            <w:r/>
            <w:r>
              <w:rPr>
                <w:sz w:val="18"/>
              </w:rPr>
              <w:t>The requirement is recovery (NFR-004), not zero downtime; autosave and server-held start times make every attempt resumable</w:t>
            </w:r>
          </w:p>
        </w:tc>
        <w:tc>
          <w:tcPr>
            <w:tcW w:type="dxa" w:w="3272"/>
          </w:tcPr>
          <w:p>
            <w:r/>
            <w:r>
              <w:rPr>
                <w:sz w:val="18"/>
              </w:rPr>
              <w:t>Run two app servers behind the load balancer once the database moves to PostgreSQL</w:t>
            </w:r>
          </w:p>
        </w:tc>
      </w:tr>
      <w:tr>
        <w:tc>
          <w:tcPr>
            <w:tcW w:type="dxa" w:w="1921"/>
          </w:tcPr>
          <w:p>
            <w:r/>
            <w:r>
              <w:rPr>
                <w:sz w:val="18"/>
              </w:rPr>
              <w:t>SQLite allows one writer at a time</w:t>
            </w:r>
          </w:p>
        </w:tc>
        <w:tc>
          <w:tcPr>
            <w:tcW w:type="dxa" w:w="4673"/>
          </w:tcPr>
          <w:p>
            <w:r/>
            <w:r>
              <w:rPr>
                <w:sz w:val="18"/>
              </w:rPr>
              <w:t>200 students autosaving every 5 s is about 40 short writes per second, which SQLite in WAL mode handles; NFR-001's load test confirms it</w:t>
            </w:r>
          </w:p>
        </w:tc>
        <w:tc>
          <w:tcPr>
            <w:tcW w:type="dxa" w:w="3272"/>
          </w:tcPr>
          <w:p>
            <w:r/>
            <w:r>
              <w:rPr>
                <w:sz w:val="18"/>
              </w:rPr>
              <w:t xml:space="preserve">Switch the </w:t>
            </w:r>
            <w:r>
              <w:rPr>
                <w:rFonts w:ascii="Consolas" w:hAnsi="Consolas"/>
                <w:sz w:val="18"/>
              </w:rPr>
              <w:t>DATABASES</w:t>
            </w:r>
            <w:r>
              <w:rPr>
                <w:sz w:val="18"/>
              </w:rPr>
              <w:t xml:space="preserve"> setting to PostgreSQL; no code changes</w:t>
            </w:r>
          </w:p>
        </w:tc>
      </w:tr>
    </w:tbl>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