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IntellMeet Backend Project Document</w:t>
      </w:r>
    </w:p>
    <w:p>
      <w:pPr>
        <w:pStyle w:val="Subtitle"/>
      </w:pPr>
      <w:r>
        <w:t>Technical overview and company handover</w:t>
      </w:r>
    </w:p>
    <w:p>
      <w:r>
        <w:t>Prepared for the IntellMeet project team and deployment company</w:t>
        <w:br/>
        <w:t>14 October 2026</w:t>
      </w:r>
    </w:p>
    <w:p>
      <w:r>
        <w:t>IntellMeet converts enterprise meetings into collaboration records and actionable follow-up. The backend provides authenticated APIs, workspace permissions, meeting controls, durable chat and notes, background processing, and integrations for media, storage, email and AI. This document explains the implementation, verified local behavior and remaining production responsibilities.</w:t>
      </w:r>
    </w:p>
    <w:p>
      <w:pPr>
        <w:pStyle w:val="Heading1"/>
      </w:pPr>
      <w:r>
        <w:t>Project scope</w:t>
      </w:r>
    </w:p>
    <w:p>
      <w:r>
        <w:t>The backend is implemented in TypeScript using Node.js and Express, with MongoDB persistence, Redis coordination, Socket.IO collaboration and BullMQ workers. LiveKit routes meeting media; S3-compatible storage holds private assets; OpenAI integrations process uploaded audio and generate summaries. A React and TypeScript frontend is also present in the repository. The backend verification described here does not establish full frontend or production acceptance.</w:t>
      </w:r>
    </w:p>
    <w:tbl>
      <w:tblPr>
        <w:tblW w:type="auto" w:w="0"/>
        <w:tblLayout w:type="fixed"/>
        <w:tblLook w:firstColumn="1" w:firstRow="1" w:lastColumn="0" w:lastRow="0" w:noHBand="0" w:noVBand="1" w:val="04A0"/>
      </w:tblPr>
      <w:tblGrid>
        <w:gridCol w:w="4802"/>
        <w:gridCol w:w="4802"/>
      </w:tblGrid>
      <w:tr>
        <w:trPr>
          <w:cantSplit/>
        </w:trPr>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Component</w:t>
            </w:r>
          </w:p>
        </w:tc>
        <w:tc>
          <w:tcPr>
            <w:tcW w:type="dxa" w:w="69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Responsibility</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REST API</w:t>
            </w:r>
          </w:p>
        </w:tc>
        <w:tc>
          <w:tcPr>
            <w:tcW w:type="dxa" w:w="69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Accounts, workspaces, projects, tasks, meetings and exports</w:t>
            </w:r>
          </w:p>
        </w:tc>
      </w:tr>
      <w:tr>
        <w:trPr>
          <w:cantSplit/>
        </w:trPr>
        <w:tc>
          <w:tcPr>
            <w:tcW w:type="dxa" w:w="2592"/>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Collaboration server</w:t>
            </w:r>
          </w:p>
        </w:tc>
        <w:tc>
          <w:tcPr>
            <w:tcW w:type="dxa" w:w="698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Authorized Socket.IO events, chat and revision-controlled notes</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Background worker</w:t>
            </w:r>
          </w:p>
        </w:tc>
        <w:tc>
          <w:tcPr>
            <w:tcW w:type="dxa" w:w="69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Transcription, summaries, retention and recovery jobs</w:t>
            </w:r>
          </w:p>
        </w:tc>
      </w:tr>
      <w:tr>
        <w:trPr>
          <w:cantSplit/>
        </w:trPr>
        <w:tc>
          <w:tcPr>
            <w:tcW w:type="dxa" w:w="2592"/>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Media and storage</w:t>
            </w:r>
          </w:p>
        </w:tc>
        <w:tc>
          <w:tcPr>
            <w:tcW w:type="dxa" w:w="6984"/>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LiveKit access controls and private S3 asset workflows</w:t>
            </w:r>
          </w:p>
        </w:tc>
      </w:tr>
    </w:tbl>
    <w:p>
      <w:pPr>
        <w:spacing w:after="0"/>
      </w:pPr>
    </w:p>
    <w:p>
      <w:pPr>
        <w:pStyle w:val="Heading1"/>
      </w:pPr>
      <w:r>
        <w:t>Core capabilities</w:t>
      </w:r>
    </w:p>
    <w:p>
      <w:r>
        <w:t>Account flows include email verification, password recovery, Google OAuth, authenticator MFA and session revocation. Workspaces support owner, administrator and member roles, invitations, ownership transfer, projects, Kanban tasks, notifications and audit history.</w:t>
      </w:r>
    </w:p>
    <w:p>
      <w:r>
        <w:t>Meeting workflows include scheduling, invitation-only access, lobby admission, host controls, participant removal, consent checks, recording orchestration and attendance. Collaboration records include chat, mentions, notes, transcripts, summaries and exports. Proposed AI actions require human approval before becoming tasks.</w:t>
      </w:r>
    </w:p>
    <w:p>
      <w:r>
        <w:br w:type="page"/>
      </w:r>
    </w:p>
    <w:p>
      <w:pPr>
        <w:pStyle w:val="Heading1"/>
      </w:pPr>
      <w:r>
        <w:t>Architecture and data flow</w:t>
      </w:r>
    </w:p>
    <w:p>
      <w:r>
        <w:t>The API and worker run as separate processes. MongoDB stores durable business records. Redis provides quotas, resource locks, cross-node events and BullMQ queues. Socket.IO carries collaboration updates; LiveKit carries audio, video and screen-sharing media. The backend authorizes access to both channels.</w:t>
      </w:r>
    </w:p>
    <w:p>
      <w:pPr>
        <w:pStyle w:val="Heading2"/>
      </w:pPr>
      <w:r>
        <w:t>A meeting from creation to follow up</w:t>
      </w:r>
    </w:p>
    <w:p>
      <w:r>
        <w:t>An authorized workspace member schedules a meeting. The backend evaluates visibility and lobby admission before issuing a short-lived LiveKit token. Chat and notes are stored durably, with REST history available after reconnects. Speaker audio uploads are validated and sealed in private storage. The worker transcribes eligible chunks, then produces structured summaries with evidence references. Approved actions become workspace tasks.</w:t>
      </w:r>
    </w:p>
    <w:p>
      <w:pPr>
        <w:pStyle w:val="Heading2"/>
      </w:pPr>
      <w:r>
        <w:t>Permission and consistency model</w:t>
      </w:r>
    </w:p>
    <w:p>
      <w:r>
        <w:t>Workspace membership defines the tenant boundary. Meeting admission and visibility apply to media and related content. Server-side policy functions are shared by HTTP and socket handlers. MongoDB transactions protect ownership and invitation changes; conditional updates and unique indexes protect retries. Notes and tasks use revision checks and return conflicts for the client to resolve.</w:t>
      </w:r>
    </w:p>
    <w:tbl>
      <w:tblPr>
        <w:tblW w:type="auto" w:w="0"/>
        <w:tblLayout w:type="fixed"/>
        <w:tblLook w:firstColumn="1" w:firstRow="1" w:lastColumn="0" w:lastRow="0" w:noHBand="0" w:noVBand="1" w:val="04A0"/>
      </w:tblPr>
      <w:tblGrid>
        <w:gridCol w:w="4802"/>
        <w:gridCol w:w="4802"/>
      </w:tblGrid>
      <w:tr>
        <w:trPr>
          <w:cantSplit/>
        </w:trPr>
        <w:tc>
          <w:tcPr>
            <w:tcW w:type="dxa" w:w="280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Project area</w:t>
            </w:r>
          </w:p>
        </w:tc>
        <w:tc>
          <w:tcPr>
            <w:tcW w:type="dxa" w:w="676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Contents</w:t>
            </w:r>
          </w:p>
        </w:tc>
      </w:tr>
      <w:tr>
        <w:trPr>
          <w:cantSplit/>
        </w:trPr>
        <w:tc>
          <w:tcPr>
            <w:tcW w:type="dxa" w:w="28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backend/src</w:t>
            </w:r>
          </w:p>
        </w:tc>
        <w:tc>
          <w:tcPr>
            <w:tcW w:type="dxa" w:w="67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API routes, policies, models, integrations and worker logic</w:t>
            </w:r>
          </w:p>
        </w:tc>
      </w:tr>
      <w:tr>
        <w:trPr>
          <w:cantSplit/>
        </w:trPr>
        <w:tc>
          <w:tcPr>
            <w:tcW w:type="dxa" w:w="280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backend/tests</w:t>
            </w:r>
          </w:p>
        </w:tc>
        <w:tc>
          <w:tcPr>
            <w:tcW w:type="dxa" w:w="676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Backend regression and integration suite</w:t>
            </w:r>
          </w:p>
        </w:tc>
      </w:tr>
      <w:tr>
        <w:trPr>
          <w:cantSplit/>
        </w:trPr>
        <w:tc>
          <w:tcPr>
            <w:tcW w:type="dxa" w:w="28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backend/scripts</w:t>
            </w:r>
          </w:p>
        </w:tc>
        <w:tc>
          <w:tcPr>
            <w:tcW w:type="dxa" w:w="67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Setup, local runtime, verification and API export tools</w:t>
            </w:r>
          </w:p>
        </w:tc>
      </w:tr>
      <w:tr>
        <w:trPr>
          <w:cantSplit/>
        </w:trPr>
        <w:tc>
          <w:tcPr>
            <w:tcW w:type="dxa" w:w="280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backend/docs</w:t>
            </w:r>
          </w:p>
        </w:tc>
        <w:tc>
          <w:tcPr>
            <w:tcW w:type="dxa" w:w="676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API contract, security, architecture and operational guidance</w:t>
            </w:r>
          </w:p>
        </w:tc>
      </w:tr>
      <w:tr>
        <w:trPr>
          <w:cantSplit/>
        </w:trPr>
        <w:tc>
          <w:tcPr>
            <w:tcW w:type="dxa" w:w="28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frontend</w:t>
            </w:r>
          </w:p>
        </w:tc>
        <w:tc>
          <w:tcPr>
            <w:tcW w:type="dxa" w:w="67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React application and browser integration code</w:t>
            </w:r>
          </w:p>
        </w:tc>
      </w:tr>
      <w:tr>
        <w:trPr>
          <w:cantSplit/>
        </w:trPr>
        <w:tc>
          <w:tcPr>
            <w:tcW w:type="dxa" w:w="280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.github/workflows</w:t>
            </w:r>
          </w:p>
        </w:tc>
        <w:tc>
          <w:tcPr>
            <w:tcW w:type="dxa" w:w="676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Repository verification and CodeQL workflows</w:t>
            </w:r>
          </w:p>
        </w:tc>
      </w:tr>
    </w:tbl>
    <w:p>
      <w:pPr>
        <w:spacing w:after="0"/>
      </w:pPr>
    </w:p>
    <w:p>
      <w:pPr>
        <w:pStyle w:val="Heading1"/>
      </w:pPr>
      <w:r>
        <w:t>Processing boundaries</w:t>
      </w:r>
    </w:p>
    <w:p>
      <w:r>
        <w:t>Transcription processes independently decodable audio chunks, with defaults of five minutes and 24 MB per chunk. Captions appear after worker processing. Completed MP4 recordings are stored privately; audio extraction from those recordings is not automatic. Speaker labels identify the uploader rather than verifying a voice biometrically.</w:t>
      </w:r>
    </w:p>
    <w:p>
      <w:r>
        <w:t>Notes use optimistic concurrency rather than a character-level CRDT. Confidential mode disables server AI and recording; it does not establish end-to-end media encryption. General file attachments, SAML and SCIM, organization billing and calendar integrations are outside the documented backend API.</w:t>
      </w:r>
    </w:p>
    <w:p>
      <w:r>
        <w:br w:type="page"/>
      </w:r>
    </w:p>
    <w:p>
      <w:pPr>
        <w:pStyle w:val="Heading1"/>
      </w:pPr>
      <w:r>
        <w:t>Security and verification</w:t>
      </w:r>
    </w:p>
    <w:p>
      <w:pPr>
        <w:pStyle w:val="Heading2"/>
      </w:pPr>
      <w:r>
        <w:t>Authentication and authorization</w:t>
      </w:r>
    </w:p>
    <w:p>
      <w:r>
        <w:t>Passwords use Argon2id. Session controls include short-lived signed access tokens, rotating refresh cookies, CSRF protection and revocation after sensitive account changes. MFA supports replay protection and single-use recovery codes. Tenant checks, strict schemas, explicit origins and per-event socket authorization protect scoped resources.</w:t>
      </w:r>
    </w:p>
    <w:p>
      <w:pPr>
        <w:pStyle w:val="Heading2"/>
      </w:pPr>
      <w:r>
        <w:t>Media storage and AI controls</w:t>
      </w:r>
    </w:p>
    <w:p>
      <w:r>
        <w:t>LiveKit tokens grant only server-selected rooms and permissions. Storage uses generated private object keys, expiring signed URLs, metadata and audio-type validation, and conditional object sealing. AI processing checks policy and consent, validates structured output and evidence, and has no model action tools. Redis quotas and bounded jobs limit abuse and cost.</w:t>
      </w:r>
    </w:p>
    <w:p>
      <w:pPr>
        <w:pStyle w:val="Heading2"/>
      </w:pPr>
      <w:r>
        <w:t>Operational safeguards</w:t>
      </w:r>
    </w:p>
    <w:p>
      <w:r>
        <w:t>The backend provides readiness and liveness endpoints, protected metrics, request identifiers, redacted logs and audit records. Delivery controls include a lockfile, secret scanning, dependency auditing, a non-root image and Kubernetes security templates. These controls do not constitute certification or a penetration test.</w:t>
      </w:r>
    </w:p>
    <w:tbl>
      <w:tblPr>
        <w:tblW w:type="auto" w:w="0"/>
        <w:tblLayout w:type="fixed"/>
        <w:tblLook w:firstColumn="1" w:firstRow="1" w:lastColumn="0" w:lastRow="0" w:noHBand="0" w:noVBand="1" w:val="04A0"/>
      </w:tblPr>
      <w:tblGrid>
        <w:gridCol w:w="4802"/>
        <w:gridCol w:w="4802"/>
      </w:tblGrid>
      <w:tr>
        <w:trPr>
          <w:cantSplit/>
        </w:trPr>
        <w:tc>
          <w:tcPr>
            <w:tcW w:type="dxa" w:w="288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Verification</w:t>
            </w:r>
          </w:p>
        </w:tc>
        <w:tc>
          <w:tcPr>
            <w:tcW w:type="dxa" w:w="66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Recorded result and scope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Backend regression suite</w:t>
            </w:r>
          </w:p>
        </w:tc>
        <w:tc>
          <w:tcPr>
            <w:tcW w:type="dxa" w:w="66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52 tests passed in the completed backend checks</w:t>
            </w:r>
          </w:p>
        </w:tc>
      </w:tr>
      <w:tr>
        <w:trPr>
          <w:cantSplit/>
        </w:trPr>
        <w:tc>
          <w:tcPr>
            <w:tcW w:type="dxa" w:w="288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Build and configuration</w:t>
            </w:r>
          </w:p>
        </w:tc>
        <w:tc>
          <w:tcPr>
            <w:tcW w:type="dxa" w:w="66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TypeScript, production build, formatting, secret scan and YAML checks passed</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MongoDB connection</w:t>
            </w:r>
          </w:p>
        </w:tc>
        <w:tc>
          <w:tcPr>
            <w:tcW w:type="dxa" w:w="66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Saved team connection passed ping and transaction-topology checks</w:t>
            </w:r>
          </w:p>
        </w:tc>
      </w:tr>
      <w:tr>
        <w:trPr>
          <w:cantSplit/>
        </w:trPr>
        <w:tc>
          <w:tcPr>
            <w:tcW w:type="dxa" w:w="2880"/>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Local service report</w:t>
            </w:r>
          </w:p>
        </w:tc>
        <w:tc>
          <w:tcPr>
            <w:tcW w:type="dxa" w:w="6696"/>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All five service checks passed in the report dated 12 October 2026</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Browser API audit</w:t>
            </w:r>
          </w:p>
        </w:tc>
        <w:tc>
          <w:tcPr>
            <w:tcW w:type="dxa" w:w="66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Earlier Playwright MCP audit passed 9 phases and 33 requests</w:t>
            </w:r>
          </w:p>
        </w:tc>
      </w:tr>
    </w:tbl>
    <w:p>
      <w:pPr>
        <w:spacing w:after="0"/>
      </w:pPr>
    </w:p>
    <w:p>
      <w:r>
        <w:t>The local service report verifies API readiness, Redis authentication and worker heartbeat, LiveKit room access and signed tokens, S3 upload and download with conditional sealing and anonymous-access rejection, and SMTP capture. A presigned-upload checksum incompatibility was reproduced and fixed.</w:t>
      </w:r>
    </w:p>
    <w:p>
      <w:pPr>
        <w:pStyle w:val="Heading1"/>
      </w:pPr>
      <w:r>
        <w:t>Remaining acceptance checks</w:t>
      </w:r>
    </w:p>
    <w:p>
      <w:r>
        <w:t>Browser WebRTC media exchange and recording egress were not verified by the local service check. Live OpenAI processing, Google OAuth, external email delivery, cloud storage policies, TURN behavior, failover, load capacity, backup restoration and production security assessment require the configured staging environment. Historical test results should be rerun for the release candidate; this document is not a new test run.</w:t>
      </w:r>
    </w:p>
    <w:p>
      <w:r>
        <w:br w:type="page"/>
      </w:r>
    </w:p>
    <w:p>
      <w:pPr>
        <w:pStyle w:val="Heading1"/>
      </w:pPr>
      <w:r>
        <w:t>Local setup and company handover</w:t>
      </w:r>
    </w:p>
    <w:p>
      <w:r>
        <w:t>Run commands from the backend directory. The Windows service runner uses an isolated local MongoDB database and generated local credentials; it does not use the team MongoDB connection or cloud keys stored in the local environment file.</w:t>
      </w:r>
    </w:p>
    <w:tbl>
      <w:tblPr>
        <w:tblW w:type="auto" w:w="0"/>
        <w:tblLayout w:type="fixed"/>
        <w:tblLook w:firstColumn="1" w:firstRow="1" w:lastColumn="0" w:lastRow="0" w:noHBand="0" w:noVBand="1" w:val="04A0"/>
      </w:tblPr>
      <w:tblGrid>
        <w:gridCol w:w="4802"/>
        <w:gridCol w:w="4802"/>
      </w:tblGrid>
      <w:tr>
        <w:trPr>
          <w:cantSplit/>
        </w:trPr>
        <w:tc>
          <w:tcPr>
            <w:tcW w:type="dxa" w:w="496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Command</w:t>
            </w:r>
          </w:p>
        </w:tc>
        <w:tc>
          <w:tcPr>
            <w:tcW w:type="dxa" w:w="460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pPr>
            <w:r>
              <w:rPr>
                <w:b/>
                <w:sz w:val="20"/>
              </w:rPr>
              <w:t>Purpose</w:t>
            </w:r>
          </w:p>
        </w:tc>
      </w:tr>
      <w:tr>
        <w:trPr>
          <w:cantSplit/>
        </w:trPr>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npm ci</w:t>
            </w:r>
          </w:p>
        </w:tc>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Install locked backend dependencies</w:t>
            </w:r>
          </w:p>
        </w:tc>
      </w:tr>
      <w:tr>
        <w:trPr>
          <w:cantSplit/>
        </w:trPr>
        <w:tc>
          <w:tcPr>
            <w:tcW w:type="dxa" w:w="496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powershell -NoProfile -File scripts/setup-local.ps1</w:t>
            </w:r>
          </w:p>
        </w:tc>
        <w:tc>
          <w:tcPr>
            <w:tcW w:type="dxa" w:w="460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Download checksum-verified Windows service binaries</w:t>
            </w:r>
          </w:p>
        </w:tc>
      </w:tr>
      <w:tr>
        <w:trPr>
          <w:cantSplit/>
        </w:trPr>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npm run local:services</w:t>
            </w:r>
          </w:p>
        </w:tc>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Build and start API, worker, MongoDB, Redis, LiveKit, storage and email capture</w:t>
            </w:r>
          </w:p>
        </w:tc>
      </w:tr>
      <w:tr>
        <w:trPr>
          <w:cantSplit/>
        </w:trPr>
        <w:tc>
          <w:tcPr>
            <w:tcW w:type="dxa" w:w="496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npm run test:local-services</w:t>
            </w:r>
          </w:p>
        </w:tc>
        <w:tc>
          <w:tcPr>
            <w:tcW w:type="dxa" w:w="460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Verify the running local service integrations</w:t>
            </w:r>
          </w:p>
        </w:tc>
      </w:tr>
      <w:tr>
        <w:trPr>
          <w:cantSplit/>
        </w:trPr>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npm run check</w:t>
            </w:r>
          </w:p>
        </w:tc>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pPr>
            <w:r>
              <w:rPr>
                <w:b w:val="0"/>
                <w:sz w:val="20"/>
              </w:rPr>
              <w:t>Type-check, run backend tests and build</w:t>
            </w:r>
          </w:p>
        </w:tc>
      </w:tr>
      <w:tr>
        <w:trPr>
          <w:cantSplit/>
        </w:trPr>
        <w:tc>
          <w:tcPr>
            <w:tcW w:type="dxa" w:w="496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npm run local:stop</w:t>
            </w:r>
          </w:p>
        </w:tc>
        <w:tc>
          <w:tcPr>
            <w:tcW w:type="dxa" w:w="4608"/>
            <w:vAlign w:val="center"/>
            <w:tcBorders>
              <w:top w:val="single" w:sz="4" w:color="D9D9D9"/>
              <w:left w:val="single" w:sz="4" w:color="D9D9D9"/>
              <w:bottom w:val="single" w:sz="4" w:color="D9D9D9"/>
              <w:right w:val="single" w:sz="4" w:color="D9D9D9"/>
            </w:tcBorders>
            <w:shd w:fill="F4F6F8"/>
            <w:tcMar>
              <w:top w:w="90" w:type="dxa"/>
              <w:left w:w="90" w:type="dxa"/>
              <w:bottom w:w="90" w:type="dxa"/>
              <w:right w:w="90" w:type="dxa"/>
            </w:tcMar>
          </w:tcPr>
          <w:p>
            <w:pPr>
              <w:spacing w:after="40"/>
            </w:pPr>
            <w:r>
              <w:rPr>
                <w:b w:val="0"/>
                <w:sz w:val="20"/>
              </w:rPr>
              <w:t>Stop the local runtime while retaining development data</w:t>
            </w:r>
          </w:p>
        </w:tc>
      </w:tr>
    </w:tbl>
    <w:p>
      <w:pPr>
        <w:spacing w:after="0"/>
      </w:pPr>
    </w:p>
    <w:p>
      <w:r>
        <w:t>Local endpoints are API port 4000, Mailpit inbox port 8026, Redis port 6380, MongoDB port 27018, LiveKit signaling port 7880 and S3 port 9000. These services bind to loopback for development. Email is captured locally, not sent externally. OpenAI and Google OAuth remain disabled in this runner; recording requires a separate egress service.</w:t>
      </w:r>
    </w:p>
    <w:p>
      <w:pPr>
        <w:pStyle w:val="Heading1"/>
      </w:pPr>
      <w:r>
        <w:t>Production responsibilities</w:t>
      </w:r>
    </w:p>
    <w:p>
      <w:r>
        <w:t>The company manages deployment and provider credentials. It must supply managed MongoDB and Redis settings, LiveKit and egress configuration, private storage credentials, email delivery and sender-domain settings, OpenAI credentials, and OAuth settings where enabled. Secrets belong in a secret manager and must never be exposed through frontend environment variables or source control.</w:t>
      </w:r>
    </w:p>
    <w:p>
      <w:r>
        <w:t>Before launch, configure HTTPS and media TLS, production origins and proxy trust, administrator MFA, private database and storage access, backup and restore procedures, monitoring, provider budgets and incident ownership. Run the staging acceptance checks described above, then complete security and load testing for the intended capacity.</w:t>
      </w:r>
    </w:p>
    <w:p>
      <w:pPr>
        <w:pStyle w:val="Heading1"/>
      </w:pPr>
      <w:r>
        <w:t>Repository and maintenance references</w:t>
      </w:r>
    </w:p>
    <w:p>
      <w:r>
        <w:t>Team repository: https://github.com/harika-3003/IntellMeet</w:t>
        <w:br/>
        <w:t>Personal fork: https://github.com/Kishkindhan-A/IntellMeet</w:t>
      </w:r>
    </w:p>
    <w:p>
      <w:r>
        <w:t>Detailed references are backend/README.md and backend/docs/API.md, ARCHITECTURE.md, SECURITY.md, DEPLOYMENT.md, LOCAL-SERVICES.md and BROWSER-AUDIT.md. The OpenAPI contract is backend/docs/openapi.json. Keep local credentials, databases, logs and dependencies excluded from Git.</w:t>
      </w:r>
    </w:p>
    <w:p>
      <w:r>
        <w:t>The agreed local setup is retained until the instruction remove deploy is given. Removal should target the local test setup and preserve the team database and company resources unless separately authorized.</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IntellMeet Backend Project Document</dc:title>
  <dc:subject>Backend technical overview and deployment handover</dc:subject>
  <dc:creator>IntellMeet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