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none"/>
        </w:pBdr>
        <w:shd w:color="4F46E5" w:val="solid"/>
        <w:spacing w:after="0" w:before="0"/>
        <w:jc w:val="center"/>
      </w:pPr>
      <w:r>
        <w:rPr>
          <w:b/>
          <w:bCs/>
          <w:color w:val="FFFFFF"/>
          <w:sz w:val="32"/>
          <w:szCs w:val="32"/>
        </w:rPr>
        <w:t xml:space="preserve">SERVICE LEVEL AGREEMENT</w:t>
      </w:r>
    </w:p>
    <w:p>
      <w:pPr>
        <w:shd w:color="4F46E5" w:val="solid"/>
        <w:spacing w:after="0"/>
        <w:jc w:val="center"/>
      </w:pPr>
      <w:r>
        <w:rPr>
          <w:b/>
          <w:bCs/>
          <w:color w:val="FFFFFF"/>
          <w:sz w:val="28"/>
          <w:szCs w:val="28"/>
        </w:rPr>
        <w:t xml:space="preserve">ZENVOICE PLATFORM</w:t>
      </w:r>
    </w:p>
    <w:p>
      <w:pPr>
        <w:shd w:color="4F46E5" w:val="solid"/>
        <w:spacing w:after="240"/>
        <w:jc w:val="center"/>
      </w:pPr>
      <w:r>
        <w:rPr>
          <w:color w:val="FFFFFF"/>
          <w:sz w:val="20"/>
          <w:szCs w:val="20"/>
        </w:rPr>
        <w:t xml:space="preserve">Powered by ZENXAI  |  {coName}</w:t>
      </w:r>
    </w:p>
    <w:p>
      <w:pPr>
        <w:spacing w:after="280"/>
        <w:jc w:val="center"/>
      </w:pPr>
      <w:r>
        <w:rPr>
          <w:b/>
          <w:bCs/>
          <w:color w:val="111827"/>
          <w:sz w:val="24"/>
          <w:szCs w:val="24"/>
        </w:rPr>
        <w:t xml:space="preserve">Ref: </w:t>
      </w:r>
      <w:r>
        <w:rPr>
          <w:b/>
          <w:bCs/>
          <w:color w:val="4F46E5"/>
          <w:sz w:val="22"/>
          <w:szCs w:val="22"/>
        </w:rPr>
        <w:t xml:space="preserve">{slaNumber}</w:t>
      </w:r>
      <w:r>
        <w:rPr>
          <w:b/>
          <w:bCs/>
          <w:color w:val="111827"/>
          <w:sz w:val="24"/>
          <w:szCs w:val="24"/>
        </w:rPr>
        <w:t xml:space="preserve">   |   Effective: </w:t>
      </w:r>
      <w:r>
        <w:rPr>
          <w:b/>
          <w:bCs/>
          <w:color w:val="4F46E5"/>
          <w:sz w:val="22"/>
          <w:szCs w:val="22"/>
        </w:rPr>
        <w:t xml:space="preserve">{effectiveDate}</w:t>
      </w:r>
      <w:r>
        <w:rPr>
          <w:b/>
          <w:bCs/>
          <w:color w:val="111827"/>
          <w:sz w:val="24"/>
          <w:szCs w:val="24"/>
        </w:rPr>
        <w:t xml:space="preserve">   |   Term: </w:t>
      </w:r>
      <w:r>
        <w:rPr>
          <w:color w:val="111827"/>
          <w:sz w:val="22"/>
          <w:szCs w:val="22"/>
        </w:rPr>
        <w:t xml:space="preserve">One (1) Year</w:t>
      </w:r>
      <w:r>
        <w:rPr>
          <w:b/>
          <w:bCs/>
          <w:color w:val="111827"/>
          <w:sz w:val="24"/>
          <w:szCs w:val="24"/>
        </w:rPr>
        <w:t xml:space="preserve">   |   Expires: </w:t>
      </w:r>
      <w:r>
        <w:rPr>
          <w:b/>
          <w:bCs/>
          <w:color w:val="4F46E5"/>
          <w:sz w:val="22"/>
          <w:szCs w:val="22"/>
        </w:rPr>
        <w:t xml:space="preserve">{expiryDate}</w:t>
      </w:r>
    </w:p>
    <w:p>
      <w:pPr>
        <w:pStyle w:val="Heading2"/>
        <w:pBdr>
          <w:bottom w:val="single" w:color="E0E7FF" w:sz="4"/>
        </w:pBdr>
        <w:spacing w:after="100" w:before="240"/>
      </w:pPr>
      <w:r>
        <w:rPr>
          <w:b/>
          <w:bCs/>
          <w:color w:val="4F46E5"/>
          <w:sz w:val="26"/>
          <w:szCs w:val="26"/>
        </w:rPr>
        <w:t xml:space="preserve">Parties to the Agreement</w:t>
      </w:r>
    </w:p>
    <w:p>
      <w:pPr>
        <w:spacing w:after="120"/>
      </w:pPr>
      <w:r>
        <w:rPr>
          <w:b/>
          <w:bCs/>
          <w:color w:val="111827"/>
          <w:sz w:val="24"/>
          <w:szCs w:val="24"/>
        </w:rPr>
        <w:t xml:space="preserve">Service Provider:  </w:t>
      </w:r>
      <w:r>
        <w:rPr>
          <w:b/>
          <w:bCs/>
          <w:color w:val="4F46E5"/>
          <w:sz w:val="22"/>
          <w:szCs w:val="22"/>
        </w:rPr>
        <w:t xml:space="preserve">{coName}</w:t>
      </w:r>
      <w:r>
        <w:rPr>
          <w:color w:val="111827"/>
          <w:sz w:val="22"/>
          <w:szCs w:val="22"/>
        </w:rPr>
        <w:t xml:space="preserve">  |  </w:t>
      </w:r>
      <w:r>
        <w:rPr>
          <w:b/>
          <w:bCs/>
          <w:color w:val="4F46E5"/>
          <w:sz w:val="22"/>
          <w:szCs w:val="22"/>
        </w:rPr>
        <w:t xml:space="preserve">{coAddress}</w:t>
      </w:r>
      <w:r>
        <w:rPr>
          <w:color w:val="111827"/>
          <w:sz w:val="22"/>
          <w:szCs w:val="22"/>
        </w:rPr>
        <w:t xml:space="preserve">, </w:t>
      </w:r>
      <w:r>
        <w:rPr>
          <w:b/>
          <w:bCs/>
          <w:color w:val="4F46E5"/>
          <w:sz w:val="22"/>
          <w:szCs w:val="22"/>
        </w:rPr>
        <w:t xml:space="preserve">{coCity}</w:t>
      </w:r>
    </w:p>
    <w:p>
      <w:pPr>
        <w:spacing w:after="120"/>
      </w:pPr>
      <w:r>
        <w:rPr>
          <w:b/>
          <w:bCs/>
          <w:color w:val="111827"/>
          <w:sz w:val="24"/>
          <w:szCs w:val="24"/>
        </w:rPr>
        <w:t xml:space="preserve">Phone: </w:t>
      </w:r>
      <w:r>
        <w:rPr>
          <w:b/>
          <w:bCs/>
          <w:color w:val="4F46E5"/>
          <w:sz w:val="22"/>
          <w:szCs w:val="22"/>
        </w:rPr>
        <w:t xml:space="preserve">{coPhone}</w:t>
      </w:r>
      <w:r>
        <w:rPr>
          <w:color w:val="111827"/>
          <w:sz w:val="22"/>
          <w:szCs w:val="22"/>
        </w:rPr>
        <w:t xml:space="preserve">  |  Email: </w:t>
      </w:r>
      <w:r>
        <w:rPr>
          <w:b/>
          <w:bCs/>
          <w:color w:val="4F46E5"/>
          <w:sz w:val="22"/>
          <w:szCs w:val="22"/>
        </w:rPr>
        <w:t xml:space="preserve">{coEmail}</w:t>
      </w:r>
    </w:p>
    <w:p>
      <w:pPr>
        <w:spacing w:after="120"/>
      </w:pPr>
      <w:r>
        <w:rPr>
          <w:b/>
          <w:bCs/>
          <w:color w:val="111827"/>
          <w:sz w:val="24"/>
          <w:szCs w:val="24"/>
        </w:rPr>
        <w:t xml:space="preserve">Client:  </w:t>
      </w:r>
      <w:r>
        <w:rPr>
          <w:b/>
          <w:bCs/>
          <w:color w:val="4F46E5"/>
          <w:sz w:val="22"/>
          <w:szCs w:val="22"/>
        </w:rPr>
        <w:t xml:space="preserve">{clientName}</w:t>
      </w:r>
      <w:r>
        <w:rPr>
          <w:color w:val="111827"/>
          <w:sz w:val="22"/>
          <w:szCs w:val="22"/>
        </w:rPr>
        <w:t xml:space="preserve">  |  </w:t>
      </w:r>
      <w:r>
        <w:rPr>
          <w:b/>
          <w:bCs/>
          <w:color w:val="4F46E5"/>
          <w:sz w:val="22"/>
          <w:szCs w:val="22"/>
        </w:rPr>
        <w:t xml:space="preserve">{clientAddress}</w:t>
      </w:r>
    </w:p>
    <w:p>
      <w:pPr>
        <w:spacing w:after="120"/>
      </w:pPr>
      <w:r>
        <w:rPr>
          <w:b/>
          <w:bCs/>
          <w:color w:val="111827"/>
          <w:sz w:val="24"/>
          <w:szCs w:val="24"/>
        </w:rPr>
        <w:t xml:space="preserve">Phone: </w:t>
      </w:r>
      <w:r>
        <w:rPr>
          <w:b/>
          <w:bCs/>
          <w:color w:val="4F46E5"/>
          <w:sz w:val="22"/>
          <w:szCs w:val="22"/>
        </w:rPr>
        <w:t xml:space="preserve">{clientPhone}</w:t>
      </w:r>
      <w:r>
        <w:rPr>
          <w:color w:val="111827"/>
          <w:sz w:val="22"/>
          <w:szCs w:val="22"/>
        </w:rPr>
        <w:t xml:space="preserve">  |  Email: </w:t>
      </w:r>
      <w:r>
        <w:rPr>
          <w:b/>
          <w:bCs/>
          <w:color w:val="4F46E5"/>
          <w:sz w:val="22"/>
          <w:szCs w:val="22"/>
        </w:rPr>
        <w:t xml:space="preserve">{clientEmail}</w:t>
      </w:r>
    </w:p>
    <w:p>
      <w:pPr>
        <w:pBdr>
          <w:bottom w:val="single" w:color="E0E7FF" w:sz="4"/>
        </w:pBdr>
        <w:spacing w:after="160"/>
      </w:pPr>
    </w:p>
    <w:p>
      <w:pPr>
        <w:pStyle w:val="Heading2"/>
        <w:pBdr>
          <w:bottom w:val="single" w:color="E0E7FF" w:sz="4"/>
        </w:pBdr>
        <w:spacing w:after="100" w:before="240"/>
      </w:pPr>
      <w:r>
        <w:rPr>
          <w:b/>
          <w:bCs/>
          <w:color w:val="4F46E5"/>
          <w:sz w:val="26"/>
          <w:szCs w:val="26"/>
        </w:rPr>
        <w:t xml:space="preserve">Preamble</w:t>
      </w:r>
    </w:p>
    <w:p>
      <w:pPr>
        <w:spacing w:after="120"/>
      </w:pPr>
      <w:r>
        <w:rPr>
          <w:color w:val="111827"/>
          <w:sz w:val="22"/>
          <w:szCs w:val="22"/>
        </w:rPr>
        <w:t xml:space="preserve">This Service Level Agreement ("Agreement") is made on </w:t>
      </w:r>
      <w:r>
        <w:rPr>
          <w:b/>
          <w:bCs/>
          <w:color w:val="4F46E5"/>
          <w:sz w:val="22"/>
          <w:szCs w:val="22"/>
        </w:rPr>
        <w:t xml:space="preserve">{effectiveDate}</w:t>
      </w:r>
      <w:r>
        <w:rPr>
          <w:color w:val="111827"/>
          <w:sz w:val="22"/>
          <w:szCs w:val="22"/>
        </w:rPr>
        <w:t xml:space="preserve">, between </w:t>
      </w:r>
      <w:r>
        <w:rPr>
          <w:b/>
          <w:bCs/>
          <w:color w:val="4F46E5"/>
          <w:sz w:val="22"/>
          <w:szCs w:val="22"/>
        </w:rPr>
        <w:t xml:space="preserve">{coName}</w:t>
      </w:r>
      <w:r>
        <w:rPr>
          <w:color w:val="111827"/>
          <w:sz w:val="22"/>
          <w:szCs w:val="22"/>
        </w:rPr>
        <w:t xml:space="preserve"> ("Service Provider") and </w:t>
      </w:r>
      <w:r>
        <w:rPr>
          <w:b/>
          <w:bCs/>
          <w:color w:val="4F46E5"/>
          <w:sz w:val="22"/>
          <w:szCs w:val="22"/>
        </w:rPr>
        <w:t xml:space="preserve">{clientName}</w:t>
      </w:r>
      <w:r>
        <w:rPr>
          <w:color w:val="111827"/>
          <w:sz w:val="22"/>
          <w:szCs w:val="22"/>
        </w:rPr>
        <w:t xml:space="preserve"> ("Client"). Together referred to as the "Parties."</w:t>
      </w:r>
    </w:p>
    <w:p>
      <w:pPr>
        <w:pBdr>
          <w:bottom w:val="single" w:color="E0E7FF" w:sz="4"/>
        </w:pBdr>
        <w:spacing w:after="160"/>
      </w:pPr>
    </w:p>
    <w:p>
      <w:pPr>
        <w:pStyle w:val="Heading2"/>
        <w:pBdr>
          <w:bottom w:val="single" w:color="E0E7FF" w:sz="4"/>
        </w:pBdr>
        <w:spacing w:after="100" w:before="240"/>
      </w:pPr>
      <w:r>
        <w:rPr>
          <w:b/>
          <w:bCs/>
          <w:color w:val="4F46E5"/>
          <w:sz w:val="26"/>
          <w:szCs w:val="26"/>
        </w:rPr>
        <w:t xml:space="preserve">Purpose</w:t>
      </w:r>
    </w:p>
    <w:p>
      <w:pPr>
        <w:spacing w:after="120"/>
      </w:pPr>
      <w:r>
        <w:rPr>
          <w:color w:val="111827"/>
          <w:sz w:val="22"/>
          <w:szCs w:val="22"/>
        </w:rPr>
        <w:t xml:space="preserve">This SLA defines the understanding between </w:t>
      </w:r>
      <w:r>
        <w:rPr>
          <w:b/>
          <w:bCs/>
          <w:color w:val="4F46E5"/>
          <w:sz w:val="22"/>
          <w:szCs w:val="22"/>
        </w:rPr>
        <w:t xml:space="preserve">{coName}</w:t>
      </w:r>
      <w:r>
        <w:rPr>
          <w:color w:val="111827"/>
          <w:sz w:val="22"/>
          <w:szCs w:val="22"/>
        </w:rPr>
        <w:t xml:space="preserve"> and </w:t>
      </w:r>
      <w:r>
        <w:rPr>
          <w:b/>
          <w:bCs/>
          <w:color w:val="4F46E5"/>
          <w:sz w:val="22"/>
          <w:szCs w:val="22"/>
        </w:rPr>
        <w:t xml:space="preserve">{clientName}</w:t>
      </w:r>
      <w:r>
        <w:rPr>
          <w:color w:val="111827"/>
          <w:sz w:val="22"/>
          <w:szCs w:val="22"/>
        </w:rPr>
        <w:t xml:space="preserve"> for the deployment and maintenance of the ZENVOICE platform powered by ZENXAI.</w:t>
      </w:r>
    </w:p>
    <w:p>
      <w:pPr>
        <w:pBdr>
          <w:bottom w:val="single" w:color="E0E7FF" w:sz="4"/>
        </w:pBdr>
        <w:spacing w:after="160"/>
      </w:pPr>
    </w:p>
    <w:p>
      <w:pPr>
        <w:pStyle w:val="Heading2"/>
        <w:pBdr>
          <w:bottom w:val="single" w:color="E0E7FF" w:sz="4"/>
        </w:pBdr>
        <w:spacing w:after="100" w:before="240"/>
      </w:pPr>
      <w:r>
        <w:rPr>
          <w:b/>
          <w:bCs/>
          <w:color w:val="4F46E5"/>
          <w:sz w:val="26"/>
          <w:szCs w:val="26"/>
        </w:rPr>
        <w:t xml:space="preserve">Scope of Services</w:t>
      </w:r>
    </w:p>
    <w:p>
      <w:pPr>
        <w:spacing w:after="120"/>
      </w:pPr>
      <w:r>
        <w:rPr>
          <w:color w:val="111827"/>
          <w:sz w:val="22"/>
          <w:szCs w:val="22"/>
        </w:rPr>
        <w:t xml:space="preserve">HEXITE shall deliver a complete, single-phase deployment including:</w:t>
      </w:r>
    </w:p>
    <w:p>
      <w:pPr>
        <w:spacing w:after="80"/>
        <w:ind w:left="360"/>
      </w:pPr>
      <w:r>
        <w:rPr>
          <w:color w:val="111827"/>
          <w:sz w:val="22"/>
          <w:szCs w:val="22"/>
        </w:rPr>
        <w:t xml:space="preserve">• End-to-end deployment of the ZENVOICE platform</w:t>
      </w:r>
    </w:p>
    <w:p>
      <w:pPr>
        <w:spacing w:after="80"/>
        <w:ind w:left="360"/>
      </w:pPr>
      <w:r>
        <w:rPr>
          <w:color w:val="111827"/>
          <w:sz w:val="22"/>
          <w:szCs w:val="22"/>
        </w:rPr>
        <w:t xml:space="preserve">• Setup of telephony automation using Telecmi</w:t>
      </w:r>
    </w:p>
    <w:p>
      <w:pPr>
        <w:spacing w:after="80"/>
        <w:ind w:left="360"/>
      </w:pPr>
      <w:r>
        <w:rPr>
          <w:color w:val="111827"/>
          <w:sz w:val="22"/>
          <w:szCs w:val="22"/>
        </w:rPr>
        <w:t xml:space="preserve">• AI-driven conversational workflows using ZENXAI</w:t>
      </w:r>
    </w:p>
    <w:p>
      <w:pPr>
        <w:spacing w:after="80"/>
        <w:ind w:left="360"/>
      </w:pPr>
      <w:r>
        <w:rPr>
          <w:color w:val="111827"/>
          <w:sz w:val="22"/>
          <w:szCs w:val="22"/>
        </w:rPr>
        <w:t xml:space="preserve">• Analytics and performance dashboards</w:t>
      </w:r>
    </w:p>
    <w:p>
      <w:pPr>
        <w:spacing w:after="80"/>
        <w:ind w:left="360"/>
      </w:pPr>
      <w:r>
        <w:rPr>
          <w:color w:val="111827"/>
          <w:sz w:val="22"/>
          <w:szCs w:val="22"/>
        </w:rPr>
        <w:t xml:space="preserve">• Integration with CRM, payment gateways, and relevant APIs</w:t>
      </w:r>
    </w:p>
    <w:p>
      <w:pPr>
        <w:spacing w:after="80"/>
        <w:ind w:left="360"/>
      </w:pPr>
      <w:r>
        <w:rPr>
          <w:color w:val="111827"/>
          <w:sz w:val="22"/>
          <w:szCs w:val="22"/>
        </w:rPr>
        <w:t xml:space="preserve">• Branding and white-label customization</w:t>
      </w:r>
    </w:p>
    <w:p>
      <w:pPr>
        <w:spacing w:after="80"/>
        <w:ind w:left="360"/>
      </w:pPr>
      <w:r>
        <w:rPr>
          <w:color w:val="111827"/>
          <w:sz w:val="22"/>
          <w:szCs w:val="22"/>
        </w:rPr>
        <w:t xml:space="preserve">• System training and onboarding for the Client's team</w:t>
      </w:r>
    </w:p>
    <w:p>
      <w:pPr>
        <w:spacing w:after="80"/>
        <w:ind w:left="360"/>
      </w:pPr>
      <w:r>
        <w:rPr>
          <w:color w:val="111827"/>
          <w:sz w:val="22"/>
          <w:szCs w:val="22"/>
        </w:rPr>
        <w:t xml:space="preserve">• Documentation and usage guidelines</w:t>
      </w:r>
    </w:p>
    <w:p>
      <w:pPr>
        <w:spacing w:after="80"/>
        <w:ind w:left="360"/>
      </w:pPr>
      <w:r>
        <w:rPr>
          <w:color w:val="111827"/>
          <w:sz w:val="22"/>
          <w:szCs w:val="22"/>
        </w:rPr>
        <w:t xml:space="preserve">• Ongoing platform maintenance and optimization during the SLA term</w:t>
      </w:r>
    </w:p>
    <w:p>
      <w:pPr>
        <w:pBdr>
          <w:bottom w:val="single" w:color="E0E7FF" w:sz="4"/>
        </w:pBdr>
        <w:spacing w:after="160"/>
      </w:pPr>
    </w:p>
    <w:p>
      <w:pPr>
        <w:pStyle w:val="Heading2"/>
        <w:pBdr>
          <w:bottom w:val="single" w:color="E0E7FF" w:sz="4"/>
        </w:pBdr>
        <w:spacing w:after="100" w:before="240"/>
      </w:pPr>
      <w:r>
        <w:rPr>
          <w:b/>
          <w:bCs/>
          <w:color w:val="4F46E5"/>
          <w:sz w:val="26"/>
          <w:szCs w:val="26"/>
        </w:rPr>
        <w:t xml:space="preserve">Contracted Services — {slaNumber}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color="F3F4F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B7280"/>
                <w:sz w:val="20"/>
                <w:szCs w:val="20"/>
              </w:rPr>
              <w:t xml:space="preserve">#</w:t>
            </w:r>
          </w:p>
        </w:tc>
        <w:tc>
          <w:tcPr>
            <w:tcW w:type="pct" w:w="68%"/>
            <w:shd w:color="F3F4F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B7280"/>
                <w:sz w:val="20"/>
                <w:szCs w:val="20"/>
              </w:rPr>
              <w:t xml:space="preserve">Service / Description</w:t>
            </w:r>
          </w:p>
        </w:tc>
        <w:tc>
          <w:tcPr>
            <w:tcW w:type="pct" w:w="24%"/>
            <w:shd w:color="F3F4F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6B7280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F46E5"/>
                <w:sz w:val="22"/>
                <w:szCs w:val="22"/>
              </w:rPr>
              <w:t xml:space="preserve">{services.index}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F46E5"/>
                <w:sz w:val="22"/>
                <w:szCs w:val="22"/>
              </w:rPr>
              <w:t xml:space="preserve">{services.description}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4F46E5"/>
                <w:sz w:val="22"/>
                <w:szCs w:val="22"/>
              </w:rPr>
              <w:t xml:space="preserve">{services.amount}</w:t>
            </w:r>
          </w:p>
        </w:tc>
      </w:tr>
      <w:tr>
        <w:tc>
          <w:tcPr>
            <w:gridSpan w:val="2"/>
            <w:shd w:color="4F46E5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Total Contract Value (Incl. GST)</w:t>
            </w:r>
          </w:p>
        </w:tc>
        <w:tc>
          <w:tcPr>
            <w:shd w:color="4F46E5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{totalAmount}</w:t>
            </w:r>
          </w:p>
        </w:tc>
      </w:tr>
    </w:tbl>
    <w:p>
      <w:pPr>
        <w:spacing w:after="160"/>
      </w:pPr>
    </w:p>
    <w:p>
      <w:pPr>
        <w:pBdr>
          <w:bottom w:val="single" w:color="E0E7FF" w:sz="4"/>
        </w:pBdr>
        <w:spacing w:after="160"/>
      </w:pPr>
    </w:p>
    <w:p>
      <w:pPr>
        <w:pStyle w:val="Heading2"/>
        <w:pBdr>
          <w:bottom w:val="single" w:color="E0E7FF" w:sz="4"/>
        </w:pBdr>
        <w:spacing w:after="100" w:before="240"/>
      </w:pPr>
      <w:r>
        <w:rPr>
          <w:b/>
          <w:bCs/>
          <w:color w:val="4F46E5"/>
          <w:sz w:val="26"/>
          <w:szCs w:val="26"/>
        </w:rPr>
        <w:t xml:space="preserve">Commercial Terms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color="FAFA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6B7280"/>
                <w:sz w:val="20"/>
                <w:szCs w:val="20"/>
              </w:rPr>
              <w:t xml:space="preserve">Total Project Cost (Incl. GST)</w:t>
            </w:r>
          </w:p>
        </w:tc>
        <w:tc>
          <w:tcPr>
            <w:tcW w:type="pct" w:w="65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4F46E5"/>
                <w:sz w:val="22"/>
                <w:szCs w:val="22"/>
              </w:rPr>
              <w:t xml:space="preserve">{totalAmount}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color="FAFA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6B7280"/>
                <w:sz w:val="20"/>
                <w:szCs w:val="20"/>
              </w:rPr>
              <w:t xml:space="preserve">Advance Payment (50%)</w:t>
            </w:r>
          </w:p>
        </w:tc>
        <w:tc>
          <w:tcPr>
            <w:tcW w:type="pct" w:w="65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4F46E5"/>
                <w:sz w:val="22"/>
                <w:szCs w:val="22"/>
              </w:rPr>
              <w:t xml:space="preserve">{advanceAmount}</w:t>
            </w:r>
            <w:r>
              <w:rPr>
                <w:color w:val="111827"/>
                <w:sz w:val="22"/>
                <w:szCs w:val="22"/>
              </w:rPr>
              <w:t xml:space="preserve"> — payable before project commencement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color="FAFA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6B7280"/>
                <w:sz w:val="20"/>
                <w:szCs w:val="20"/>
              </w:rPr>
              <w:t xml:space="preserve">Balance Payment (50%)</w:t>
            </w:r>
          </w:p>
        </w:tc>
        <w:tc>
          <w:tcPr>
            <w:tcW w:type="pct" w:w="65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4F46E5"/>
                <w:sz w:val="22"/>
                <w:szCs w:val="22"/>
              </w:rPr>
              <w:t xml:space="preserve">{balanceAmount}</w:t>
            </w:r>
            <w:r>
              <w:rPr>
                <w:color w:val="111827"/>
                <w:sz w:val="22"/>
                <w:szCs w:val="22"/>
              </w:rPr>
              <w:t xml:space="preserve"> — payable after two weeks of commencement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color="FAFA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6B7280"/>
                <w:sz w:val="20"/>
                <w:szCs w:val="20"/>
              </w:rPr>
              <w:t xml:space="preserve">Wallet Credit Benefit</w:t>
            </w:r>
          </w:p>
        </w:tc>
        <w:tc>
          <w:tcPr>
            <w:tcW w:type="pct" w:w="65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11827"/>
                <w:sz w:val="22"/>
                <w:szCs w:val="22"/>
              </w:rPr>
              <w:t xml:space="preserve">50,000 credits added as fueling charges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color="FAFA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6B7280"/>
                <w:sz w:val="20"/>
                <w:szCs w:val="20"/>
              </w:rPr>
              <w:t xml:space="preserve">Call Fueling Charges</w:t>
            </w:r>
          </w:p>
        </w:tc>
        <w:tc>
          <w:tcPr>
            <w:tcW w:type="pct" w:w="65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11827"/>
                <w:sz w:val="22"/>
                <w:szCs w:val="22"/>
              </w:rPr>
              <w:t xml:space="preserve">INR 3.85 + applicable GST per minute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color="FAFA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6B7280"/>
                <w:sz w:val="20"/>
                <w:szCs w:val="20"/>
              </w:rPr>
              <w:t xml:space="preserve">AWS Hosting Support</w:t>
            </w:r>
          </w:p>
        </w:tc>
        <w:tc>
          <w:tcPr>
            <w:tcW w:type="pct" w:w="65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11827"/>
                <w:sz w:val="22"/>
                <w:szCs w:val="22"/>
              </w:rPr>
              <w:t xml:space="preserve">Up to $1,000 in AWS credits for infrastructure setup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b/>
          <w:bCs/>
          <w:color w:val="111827"/>
          <w:sz w:val="24"/>
          <w:szCs w:val="24"/>
        </w:rPr>
        <w:t xml:space="preserve">Second Year Fee Waiver: </w:t>
      </w:r>
      <w:r>
        <w:rPr>
          <w:color w:val="111827"/>
          <w:sz w:val="22"/>
          <w:szCs w:val="22"/>
        </w:rPr>
        <w:t xml:space="preserve">The platform fee for the second year shall be fully waived if the Client generates revenue of INR 5,00,000 to INR 10,00,000 within the first 12 months.</w:t>
      </w:r>
    </w:p>
    <w:p>
      <w:pPr>
        <w:pBdr>
          <w:bottom w:val="single" w:color="E0E7FF" w:sz="4"/>
        </w:pBdr>
        <w:spacing w:after="160"/>
      </w:pPr>
    </w:p>
    <w:p>
      <w:pPr>
        <w:pStyle w:val="Heading2"/>
        <w:pBdr>
          <w:bottom w:val="single" w:color="E0E7FF" w:sz="4"/>
        </w:pBdr>
        <w:spacing w:after="100" w:before="240"/>
      </w:pPr>
      <w:r>
        <w:rPr>
          <w:b/>
          <w:bCs/>
          <w:color w:val="4F46E5"/>
          <w:sz w:val="26"/>
          <w:szCs w:val="26"/>
        </w:rPr>
        <w:t xml:space="preserve">Platform &amp; Technology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color="FAFA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6B7280"/>
                <w:sz w:val="20"/>
                <w:szCs w:val="20"/>
              </w:rPr>
              <w:t xml:space="preserve">Telephony</w:t>
            </w:r>
          </w:p>
        </w:tc>
        <w:tc>
          <w:tcPr>
            <w:tcW w:type="pct" w:w="65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11827"/>
                <w:sz w:val="22"/>
                <w:szCs w:val="22"/>
              </w:rPr>
              <w:t xml:space="preserve">Telecmi Cloud Telephony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color="FAFA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6B7280"/>
                <w:sz w:val="20"/>
                <w:szCs w:val="20"/>
              </w:rPr>
              <w:t xml:space="preserve">AI &amp; Automation</w:t>
            </w:r>
          </w:p>
        </w:tc>
        <w:tc>
          <w:tcPr>
            <w:tcW w:type="pct" w:w="65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11827"/>
                <w:sz w:val="22"/>
                <w:szCs w:val="22"/>
              </w:rPr>
              <w:t xml:space="preserve">ZENXAI Platform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color="FAFA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6B7280"/>
                <w:sz w:val="20"/>
                <w:szCs w:val="20"/>
              </w:rPr>
              <w:t xml:space="preserve">Hosting</w:t>
            </w:r>
          </w:p>
        </w:tc>
        <w:tc>
          <w:tcPr>
            <w:tcW w:type="pct" w:w="65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11827"/>
                <w:sz w:val="22"/>
                <w:szCs w:val="22"/>
              </w:rPr>
              <w:t xml:space="preserve">AWS Cloud Infrastructure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color="FAFA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6B7280"/>
                <w:sz w:val="20"/>
                <w:szCs w:val="20"/>
              </w:rPr>
              <w:t xml:space="preserve">Dashboard</w:t>
            </w:r>
          </w:p>
        </w:tc>
        <w:tc>
          <w:tcPr>
            <w:tcW w:type="pct" w:w="65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11827"/>
                <w:sz w:val="22"/>
                <w:szCs w:val="22"/>
              </w:rPr>
              <w:t xml:space="preserve">Custom-built ZENXAI-powered analytics interface</w:t>
            </w:r>
          </w:p>
        </w:tc>
      </w:tr>
    </w:tbl>
    <w:p>
      <w:pPr>
        <w:spacing w:after="160"/>
      </w:pPr>
    </w:p>
    <w:p>
      <w:pPr>
        <w:pBdr>
          <w:bottom w:val="single" w:color="E0E7FF" w:sz="4"/>
        </w:pBdr>
        <w:spacing w:after="160"/>
      </w:pPr>
    </w:p>
    <w:p>
      <w:pPr>
        <w:pStyle w:val="Heading2"/>
        <w:pBdr>
          <w:bottom w:val="single" w:color="E0E7FF" w:sz="4"/>
        </w:pBdr>
        <w:spacing w:after="100" w:before="240"/>
      </w:pPr>
      <w:r>
        <w:rPr>
          <w:b/>
          <w:bCs/>
          <w:color w:val="4F46E5"/>
          <w:sz w:val="26"/>
          <w:szCs w:val="26"/>
        </w:rPr>
        <w:t xml:space="preserve">Confidentiality &amp; NDA</w:t>
      </w:r>
    </w:p>
    <w:p>
      <w:pPr>
        <w:spacing w:after="80"/>
        <w:ind w:left="360"/>
      </w:pPr>
      <w:r>
        <w:rPr>
          <w:color w:val="111827"/>
          <w:sz w:val="22"/>
          <w:szCs w:val="22"/>
        </w:rPr>
        <w:t xml:space="preserve">• Both parties agree to maintain strict confidentiality of all shared information</w:t>
      </w:r>
    </w:p>
    <w:p>
      <w:pPr>
        <w:spacing w:after="80"/>
        <w:ind w:left="360"/>
      </w:pPr>
      <w:r>
        <w:rPr>
          <w:color w:val="111827"/>
          <w:sz w:val="22"/>
          <w:szCs w:val="22"/>
        </w:rPr>
        <w:t xml:space="preserve">• This obligation remains valid for three (3) years post termination</w:t>
      </w:r>
    </w:p>
    <w:p>
      <w:pPr>
        <w:spacing w:after="80"/>
        <w:ind w:left="360"/>
      </w:pPr>
      <w:r>
        <w:rPr>
          <w:color w:val="111827"/>
          <w:sz w:val="22"/>
          <w:szCs w:val="22"/>
        </w:rPr>
        <w:t xml:space="preserve">• Any breach may result in termination and legal action</w:t>
      </w:r>
    </w:p>
    <w:p>
      <w:pPr>
        <w:pBdr>
          <w:bottom w:val="single" w:color="E0E7FF" w:sz="4"/>
        </w:pBdr>
        <w:spacing w:after="160"/>
      </w:pPr>
    </w:p>
    <w:p>
      <w:pPr>
        <w:pStyle w:val="Heading2"/>
        <w:pBdr>
          <w:bottom w:val="single" w:color="E0E7FF" w:sz="4"/>
        </w:pBdr>
        <w:spacing w:after="100" w:before="240"/>
      </w:pPr>
      <w:r>
        <w:rPr>
          <w:b/>
          <w:bCs/>
          <w:color w:val="4F46E5"/>
          <w:sz w:val="26"/>
          <w:szCs w:val="26"/>
        </w:rPr>
        <w:t xml:space="preserve">Intellectual Property &amp; License</w:t>
      </w:r>
    </w:p>
    <w:p>
      <w:pPr>
        <w:spacing w:after="80"/>
        <w:ind w:left="360"/>
      </w:pPr>
      <w:r>
        <w:rPr>
          <w:color w:val="111827"/>
          <w:sz w:val="22"/>
          <w:szCs w:val="22"/>
        </w:rPr>
        <w:t xml:space="preserve">• All platforms, frameworks, AI systems, and code remain the intellectual property of HEXITE</w:t>
      </w:r>
    </w:p>
    <w:p>
      <w:pPr>
        <w:spacing w:after="80"/>
        <w:ind w:left="360"/>
      </w:pPr>
      <w:r>
        <w:rPr>
          <w:color w:val="111827"/>
          <w:sz w:val="22"/>
          <w:szCs w:val="22"/>
        </w:rPr>
        <w:t xml:space="preserve">• The Client is granted a non-exclusive, non-transferable license for usage during the agreement period</w:t>
      </w:r>
    </w:p>
    <w:p>
      <w:pPr>
        <w:pBdr>
          <w:bottom w:val="single" w:color="E0E7FF" w:sz="4"/>
        </w:pBdr>
        <w:spacing w:after="160"/>
      </w:pPr>
    </w:p>
    <w:p>
      <w:pPr>
        <w:pStyle w:val="Heading2"/>
        <w:pBdr>
          <w:bottom w:val="single" w:color="E0E7FF" w:sz="4"/>
        </w:pBdr>
        <w:spacing w:after="100" w:before="240"/>
      </w:pPr>
      <w:r>
        <w:rPr>
          <w:b/>
          <w:bCs/>
          <w:color w:val="4F46E5"/>
          <w:sz w:val="26"/>
          <w:szCs w:val="26"/>
        </w:rPr>
        <w:t xml:space="preserve">Termination Clause</w:t>
      </w:r>
    </w:p>
    <w:p>
      <w:pPr>
        <w:spacing w:after="80"/>
        <w:ind w:left="360"/>
      </w:pPr>
      <w:r>
        <w:rPr>
          <w:color w:val="111827"/>
          <w:sz w:val="22"/>
          <w:szCs w:val="22"/>
        </w:rPr>
        <w:t xml:space="preserve">• Either party may terminate this agreement with a 30-day written notice</w:t>
      </w:r>
    </w:p>
    <w:p>
      <w:pPr>
        <w:spacing w:after="80"/>
        <w:ind w:left="360"/>
      </w:pPr>
      <w:r>
        <w:rPr>
          <w:color w:val="111827"/>
          <w:sz w:val="22"/>
          <w:szCs w:val="22"/>
        </w:rPr>
        <w:t xml:space="preserve">• All outstanding payments must be cleared prior to termination</w:t>
      </w:r>
    </w:p>
    <w:p>
      <w:pPr>
        <w:spacing w:after="80"/>
        <w:ind w:left="360"/>
      </w:pPr>
      <w:r>
        <w:rPr>
          <w:color w:val="111827"/>
          <w:sz w:val="22"/>
          <w:szCs w:val="22"/>
        </w:rPr>
        <w:t xml:space="preserve">• Upon termination, access to the platform will be revoked</w:t>
      </w:r>
    </w:p>
    <w:p>
      <w:pPr>
        <w:pBdr>
          <w:bottom w:val="single" w:color="E0E7FF" w:sz="4"/>
        </w:pBdr>
        <w:spacing w:after="160"/>
      </w:pPr>
    </w:p>
    <w:p>
      <w:pPr>
        <w:pStyle w:val="Heading2"/>
        <w:pBdr>
          <w:bottom w:val="single" w:color="E0E7FF" w:sz="4"/>
        </w:pBdr>
        <w:spacing w:after="100" w:before="240"/>
      </w:pPr>
      <w:r>
        <w:rPr>
          <w:b/>
          <w:bCs/>
          <w:color w:val="4F46E5"/>
          <w:sz w:val="26"/>
          <w:szCs w:val="26"/>
        </w:rPr>
        <w:t xml:space="preserve">Governing Law &amp; Jurisdiction</w:t>
      </w:r>
    </w:p>
    <w:p>
      <w:pPr>
        <w:spacing w:after="120"/>
      </w:pPr>
      <w:r>
        <w:rPr>
          <w:color w:val="111827"/>
          <w:sz w:val="22"/>
          <w:szCs w:val="22"/>
        </w:rPr>
        <w:t xml:space="preserve">This Agreement shall be governed by the laws of India. All disputes shall be subject to the exclusive jurisdiction of courts in Chennai, Tamil Nadu.</w:t>
      </w:r>
    </w:p>
    <w:p>
      <w:pPr>
        <w:pBdr>
          <w:bottom w:val="single" w:color="E0E7FF" w:sz="4"/>
        </w:pBdr>
        <w:spacing w:after="160"/>
      </w:pPr>
    </w:p>
    <w:p>
      <w:pPr>
        <w:pStyle w:val="Heading2"/>
        <w:pBdr>
          <w:bottom w:val="single" w:color="E0E7FF" w:sz="4"/>
        </w:pBdr>
        <w:spacing w:after="100" w:before="240"/>
      </w:pPr>
      <w:r>
        <w:rPr>
          <w:b/>
          <w:bCs/>
          <w:color w:val="4F46E5"/>
          <w:sz w:val="26"/>
          <w:szCs w:val="26"/>
        </w:rPr>
        <w:t xml:space="preserve">Additional Notes</w:t>
      </w:r>
    </w:p>
    <w:p>
      <w:pPr>
        <w:spacing w:after="120"/>
      </w:pPr>
      <w:r>
        <w:rPr>
          <w:b/>
          <w:bCs/>
          <w:color w:val="4F46E5"/>
          <w:sz w:val="22"/>
          <w:szCs w:val="22"/>
        </w:rPr>
        <w:t xml:space="preserve">{notes}</w:t>
      </w:r>
    </w:p>
    <w:p>
      <w:pPr>
        <w:pBdr>
          <w:bottom w:val="single" w:color="E0E7FF" w:sz="4"/>
        </w:pBdr>
        <w:spacing w:after="160"/>
      </w:pPr>
    </w:p>
    <w:p>
      <w:pPr>
        <w:pStyle w:val="Heading2"/>
        <w:pBdr>
          <w:bottom w:val="single" w:color="E0E7FF" w:sz="4"/>
        </w:pBdr>
        <w:spacing w:after="100" w:before="240"/>
      </w:pPr>
      <w:r>
        <w:rPr>
          <w:b/>
          <w:bCs/>
          <w:color w:val="4F46E5"/>
          <w:sz w:val="26"/>
          <w:szCs w:val="26"/>
        </w:rPr>
        <w:t xml:space="preserve">Acknowledgement &amp; Signatures</w:t>
      </w:r>
    </w:p>
    <w:p>
      <w:pPr>
        <w:spacing w:after="120"/>
      </w:pPr>
      <w:r>
        <w:rPr>
          <w:color w:val="111827"/>
          <w:sz w:val="22"/>
          <w:szCs w:val="22"/>
        </w:rPr>
        <w:t xml:space="preserve">This SLA represents the complete understanding between </w:t>
      </w:r>
      <w:r>
        <w:rPr>
          <w:b/>
          <w:bCs/>
          <w:color w:val="4F46E5"/>
          <w:sz w:val="22"/>
          <w:szCs w:val="22"/>
        </w:rPr>
        <w:t xml:space="preserve">{coName}</w:t>
      </w:r>
      <w:r>
        <w:rPr>
          <w:color w:val="111827"/>
          <w:sz w:val="22"/>
          <w:szCs w:val="22"/>
        </w:rPr>
        <w:t xml:space="preserve"> and </w:t>
      </w:r>
      <w:r>
        <w:rPr>
          <w:b/>
          <w:bCs/>
          <w:color w:val="4F46E5"/>
          <w:sz w:val="22"/>
          <w:szCs w:val="22"/>
        </w:rPr>
        <w:t xml:space="preserve">{clientName}</w:t>
      </w:r>
      <w:r>
        <w:rPr>
          <w:color w:val="111827"/>
          <w:sz w:val="22"/>
          <w:szCs w:val="22"/>
        </w:rPr>
        <w:t xml:space="preserve">. Both parties acknowledge and agree to all terms outlined in this agreement.</w:t>
      </w:r>
    </w:p>
    <w:p>
      <w:pPr>
        <w:spacing w:after="3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6B7280"/>
                <w:sz w:val="20"/>
                <w:szCs w:val="20"/>
              </w:rPr>
              <w:t xml:space="preserve">For {coName}</w:t>
            </w:r>
          </w:p>
          <w:p>
            <w:pPr>
              <w:spacing w:after="600"/>
            </w:pPr>
          </w:p>
          <w:p>
            <w:r>
              <w:rPr>
                <w:color w:val="111827"/>
                <w:sz w:val="22"/>
                <w:szCs w:val="22"/>
              </w:rPr>
              <w:t xml:space="preserve">Signature: _______________________</w:t>
            </w:r>
          </w:p>
          <w:p>
            <w:r>
              <w:rPr>
                <w:color w:val="111827"/>
                <w:sz w:val="22"/>
                <w:szCs w:val="22"/>
              </w:rPr>
              <w:t xml:space="preserve">Designation: Chief Business Officer</w:t>
            </w:r>
          </w:p>
        </w:tc>
        <w:tc>
          <w:tcPr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6B7280"/>
                <w:sz w:val="20"/>
                <w:szCs w:val="20"/>
              </w:rPr>
              <w:t xml:space="preserve">For {clientName}</w:t>
            </w:r>
          </w:p>
          <w:p>
            <w:pPr>
              <w:spacing w:after="600"/>
            </w:pPr>
          </w:p>
          <w:p>
            <w:r>
              <w:rPr>
                <w:color w:val="111827"/>
                <w:sz w:val="22"/>
                <w:szCs w:val="22"/>
              </w:rPr>
              <w:t xml:space="preserve">Signature: _______________________</w:t>
            </w:r>
          </w:p>
          <w:p>
            <w:r>
              <w:rPr>
                <w:color w:val="111827"/>
                <w:sz w:val="22"/>
                <w:szCs w:val="22"/>
              </w:rPr>
              <w:t xml:space="preserve">Designation: Authorised Signatory</w:t>
            </w:r>
          </w:p>
        </w:tc>
      </w:tr>
    </w:tbl>
    <w:p>
      <w:pPr>
        <w:spacing w:after="240"/>
      </w:pPr>
    </w:p>
    <w:p>
      <w:pPr>
        <w:shd w:color="F3F4F6" w:val="solid"/>
        <w:spacing w:after="60" w:before="120"/>
        <w:jc w:val="center"/>
      </w:pPr>
      <w:r>
        <w:rPr>
          <w:color w:val="6B7280"/>
          <w:sz w:val="18"/>
          <w:szCs w:val="18"/>
        </w:rPr>
        <w:t xml:space="preserve">{slaNumber}  |  {coName}  |  {coEmail}  |  {coPhone}</w:t>
      </w:r>
    </w:p>
    <w:p>
      <w:pPr>
        <w:shd w:color="F3F4F6" w:val="solid"/>
        <w:jc w:val="center"/>
      </w:pPr>
      <w:r>
        <w:rPr>
          <w:color w:val="6B7280"/>
          <w:sz w:val="16"/>
          <w:szCs w:val="16"/>
        </w:rPr>
        <w:t xml:space="preserve">This is a digitally generated Service Level Agreement.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2026-04-24T12:15:04.211Z</dcterms:created>
  <dcterms:modified xsi:type="dcterms:W3CDTF">2026-04-24T12:15:04.212Z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