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NIDHI CATERING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AACDE0"/>
                <w:sz w:val="22"/>
                <w:szCs w:val="22"/>
              </w:rPr>
              <w:t xml:space="preserve">Order Management System  ·  Waterfall Execution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11B"/>
                <w:spacing w:val="120"/>
                <w:sz w:val="20"/>
                <w:szCs w:val="20"/>
              </w:rPr>
              <w:t xml:space="preserve">DEVELOPER REFERENCE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z w:val="17"/>
                <w:szCs w:val="17"/>
              </w:rPr>
              <w:t xml:space="preserve">TOTAL PHASES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8  (Phases 0 – 7)</w:t>
            </w:r>
          </w:p>
        </w:tc>
        <w:tc>
          <w:tcPr>
            <w:tcW w:type="dxa" w:w="234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z w:val="17"/>
                <w:szCs w:val="17"/>
              </w:rPr>
              <w:t xml:space="preserve">EXECUTION MODEL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Waterfall + Iterative</w:t>
            </w:r>
          </w:p>
        </w:tc>
        <w:tc>
          <w:tcPr>
            <w:tcW w:type="dxa" w:w="234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z w:val="17"/>
                <w:szCs w:val="17"/>
              </w:rPr>
              <w:t xml:space="preserve">SUPPORT WINDOW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 Months Post Go-Live</w:t>
            </w:r>
          </w:p>
        </w:tc>
        <w:tc>
          <w:tcPr>
            <w:tcW w:type="dxa" w:w="234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4F6F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z w:val="17"/>
                <w:szCs w:val="17"/>
              </w:rPr>
              <w:t xml:space="preserve">AUDIENCE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Developer (Internal)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11B" w:sz="6"/>
              <w:left w:val="single" w:color="E8711B" w:sz="6"/>
              <w:bottom w:val="single" w:color="C5D3E8" w:sz="4"/>
              <w:right w:val="single" w:color="C5D3E8" w:sz="4"/>
            </w:tcBorders>
            <w:shd w:fill="FFF8F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711B"/>
                <w:sz w:val="18"/>
                <w:szCs w:val="18"/>
              </w:rPr>
              <w:t xml:space="preserve">PARALLEL EXECUTION NOTE  (Phases 0, 1 &amp; 2)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Phases 0, 1, and 2 run simultaneously. Phase 3 begins only after all three complete. Phases 5 and 7 are iterative (non-linear).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200"/>
        <w:gridCol w:w="2100"/>
        <w:gridCol w:w="1160"/>
      </w:tblGrid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8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0  ·  PRE-KICKOFF INPUTS</w:t>
            </w:r>
            <w:r>
              <w:rPr>
                <w:rFonts w:ascii="Arial" w:cs="Arial" w:eastAsia="Arial" w:hAnsi="Arial"/>
                <w:color w:val="AACDE0"/>
                <w:sz w:val="16"/>
                <w:szCs w:val="16"/>
              </w:rPr>
              <w:t xml:space="preserve">  [ PARALLEL ]</w:t>
            </w:r>
          </w:p>
        </w:tc>
      </w:tr>
      <w:t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Step</w:t>
            </w:r>
          </w:p>
        </w:tc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Details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Deliverable</w:t>
            </w:r>
          </w:p>
        </w:tc>
        <w:tc>
          <w:tcPr>
            <w:tcW w:type="dxa" w:w="1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0.1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Website Menu Data → Excel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Parse website menu into structured Excel sheet. Client validates extracted items, pricing, and fields. No new classification required.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Validated menu Excel file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0.2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Confirm Fixed Scope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Lock in: Desktop-only web UI; PDF quote delivery only; plan-ahead window = 7 days; post-go-live support = 2 months.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Signed scope assumption doc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0.3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AI Account &amp; Ownership Setup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Client opens Anthropic/OpenAI account on their credit card. Dev integrates via API keys stored in env vars. Usage costs borne by client.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API keys available in .env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0.4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Database Choice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Select DB based on convenience and hosting constraints: SQLite / MySQL / PostgreSQL. Keep DB layer abstracted (Prisma ORM) to allow early switching.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DB technology decision logged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9360"/>
            <w:gridSpan w:val="5"/>
            <w:tcBorders>
              <w:top w:val="single" w:color="E8711B" w:sz="6"/>
              <w:left w:val="single" w:color="E8711B" w:sz="6"/>
              <w:bottom w:val="single" w:color="C5D3E8" w:sz="4"/>
              <w:right w:val="single" w:color="C5D3E8" w:sz="4"/>
            </w:tcBorders>
            <w:shd w:fill="FFF8F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711B"/>
                <w:sz w:val="17"/>
                <w:szCs w:val="17"/>
              </w:rPr>
              <w:t xml:space="preserve">EXIT CRITERIA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C2B4A"/>
                <w:sz w:val="17"/>
                <w:szCs w:val="17"/>
              </w:rPr>
              <w:t xml:space="preserve">→  Menu Excel extracted and client-validated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C2B4A"/>
                <w:sz w:val="17"/>
                <w:szCs w:val="17"/>
              </w:rPr>
              <w:t xml:space="preserve">→  AI account created and API keys provided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C2B4A"/>
                <w:sz w:val="17"/>
                <w:szCs w:val="17"/>
              </w:rPr>
              <w:t xml:space="preserve">→  Database technology decided</w:t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4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 ·  REQUIREMENT FREEZE &amp; DESIGN</w:t>
            </w:r>
            <w:r>
              <w:rPr>
                <w:rFonts w:ascii="Arial" w:cs="Arial" w:eastAsia="Arial" w:hAnsi="Arial"/>
                <w:color w:val="AACDE0"/>
                <w:sz w:val="16"/>
                <w:szCs w:val="16"/>
              </w:rPr>
              <w:t xml:space="preserve">  [ PARALLEL ]</w:t>
            </w:r>
          </w:p>
        </w:tc>
      </w:tr>
      <w:t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Step</w:t>
            </w:r>
          </w:p>
        </w:tc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Details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Deliverable</w:t>
            </w:r>
          </w:p>
        </w:tc>
        <w:tc>
          <w:tcPr>
            <w:tcW w:type="dxa" w:w="1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1.1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CRD — Requirement Freeze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Confirm all form fields, admin review/edit flow, PDF layout expectations, email confirmation step. Produce CRD v1.0 document.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CRD v1.0 signed off by client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1.2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Technical Design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UI screen wireframes + navigation map; REST API endpoints and workflow; DB schema (orders, items, customers, events, metadata); PDF generation library choice; email service (Resend/SendGrid).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Architecture doc + screen flow diagram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9360"/>
            <w:gridSpan w:val="5"/>
            <w:tcBorders>
              <w:top w:val="single" w:color="E8711B" w:sz="6"/>
              <w:left w:val="single" w:color="E8711B" w:sz="6"/>
              <w:bottom w:val="single" w:color="C5D3E8" w:sz="4"/>
              <w:right w:val="single" w:color="C5D3E8" w:sz="4"/>
            </w:tcBorders>
            <w:shd w:fill="FFF8F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711B"/>
                <w:sz w:val="17"/>
                <w:szCs w:val="17"/>
              </w:rPr>
              <w:t xml:space="preserve">EXIT CRITERIA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C2B4A"/>
                <w:sz w:val="17"/>
                <w:szCs w:val="17"/>
              </w:rPr>
              <w:t xml:space="preserve">→  CRD v1.0 reviewed and signed off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C2B4A"/>
                <w:sz w:val="17"/>
                <w:szCs w:val="17"/>
              </w:rPr>
              <w:t xml:space="preserve">→  Architecture diagram and screen flow locked</w:t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 ·  APP FOUNDATION SETUP</w:t>
            </w:r>
            <w:r>
              <w:rPr>
                <w:rFonts w:ascii="Arial" w:cs="Arial" w:eastAsia="Arial" w:hAnsi="Arial"/>
                <w:color w:val="AACDE0"/>
                <w:sz w:val="16"/>
                <w:szCs w:val="16"/>
              </w:rPr>
              <w:t xml:space="preserve">  [ PARALLEL ]</w:t>
            </w:r>
          </w:p>
        </w:tc>
      </w:tr>
      <w:t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Step</w:t>
            </w:r>
          </w:p>
        </w:tc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Details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Deliverable</w:t>
            </w:r>
          </w:p>
        </w:tc>
        <w:tc>
          <w:tcPr>
            <w:tcW w:type="dxa" w:w="1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2.1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Project Scaffold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Initialize repo/app structure (Next.js or equivalent). Configure environment model (.env.example). Produce build &amp; run instructions (ZIP-deployable for client's engineer).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Runnable scaffold committed to repo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2.2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Database Setup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Implement chosen DB. Create schema + migration/init scripts. Seed reference data only if required (otherwise rely on menu Excel import flow).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DB schema created, migrations working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2.3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AI + Email Integration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Wrap Anthropic/OpenAI client. Integrate email service (Resend or SendGrid). All credentials via environment variables — no hard-coding.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AI + email connectivity validated end-to-end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9360"/>
            <w:gridSpan w:val="5"/>
            <w:tcBorders>
              <w:top w:val="single" w:color="E8711B" w:sz="6"/>
              <w:left w:val="single" w:color="E8711B" w:sz="6"/>
              <w:bottom w:val="single" w:color="C5D3E8" w:sz="4"/>
              <w:right w:val="single" w:color="C5D3E8" w:sz="4"/>
            </w:tcBorders>
            <w:shd w:fill="FFF8F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711B"/>
                <w:sz w:val="17"/>
                <w:szCs w:val="17"/>
              </w:rPr>
              <w:t xml:space="preserve">EXIT CRITERIA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C2B4A"/>
                <w:sz w:val="17"/>
                <w:szCs w:val="17"/>
              </w:rPr>
              <w:t xml:space="preserve">→  App runs locally with stub data end-to-end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C2B4A"/>
                <w:sz w:val="17"/>
                <w:szCs w:val="17"/>
              </w:rPr>
              <w:t xml:space="preserve">→  DB reads and writes verified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C2B4A"/>
                <w:sz w:val="17"/>
                <w:szCs w:val="17"/>
              </w:rPr>
              <w:t xml:space="preserve">→  AI response and email delivery confirmed</w:t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F4B1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 ·  CORE FEATURE DEVELOPMENT</w:t>
            </w:r>
            <w:r>
              <w:rPr>
                <w:rFonts w:ascii="Arial" w:cs="Arial" w:eastAsia="Arial" w:hAnsi="Arial"/>
                <w:color w:val="AACDE0"/>
                <w:sz w:val="16"/>
                <w:szCs w:val="16"/>
              </w:rPr>
              <w:t xml:space="preserve">  [ SEQUENTIAL — WATERFALL ]</w:t>
            </w:r>
          </w:p>
        </w:tc>
      </w:tr>
      <w:t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Step</w:t>
            </w:r>
          </w:p>
        </w:tc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Details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Deliverable</w:t>
            </w:r>
          </w:p>
        </w:tc>
        <w:tc>
          <w:tcPr>
            <w:tcW w:type="dxa" w:w="1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3.1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Order Intake UI (Desktop)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Desktop-first web form: item selection + quantity + notes; customer/event fields; client-side validation (Zod or equivalent).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Functional order intake screen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3.2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Backend Order Processing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Server-side validation. Save order + line items to DB. Persist advance payment, delivery type, location, equipment, notes.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Order data persisted in DB correctly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3.3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Quote Calculation + Admin Edit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Auto-compute line totals and grand total. Admin interface to edit line items and totals before finalizing. Audit trail of changes.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Quote editor functional with correct totals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3.4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PDF Quote Generation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Template-driven PDF generation. Include: customer/event details, itemized table, totals, branding. Library: pdfkit / react-pdf / puppeteer (TBD in Phase 1).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PDF quote generated correctly per order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3.5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Email Delivery Workflow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Owner enters customer email. AI or template generates email body. PDF attached automatically. Owner reviews and confirms before send. Email + send timestamp logged.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End-to-end email flow with PDF attachment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9360"/>
            <w:gridSpan w:val="5"/>
            <w:tcBorders>
              <w:top w:val="single" w:color="E8711B" w:sz="6"/>
              <w:left w:val="single" w:color="E8711B" w:sz="6"/>
              <w:bottom w:val="single" w:color="C5D3E8" w:sz="4"/>
              <w:right w:val="single" w:color="C5D3E8" w:sz="4"/>
            </w:tcBorders>
            <w:shd w:fill="FFF8F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711B"/>
                <w:sz w:val="17"/>
                <w:szCs w:val="17"/>
              </w:rPr>
              <w:t xml:space="preserve">EXIT CRITERIA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C2B4A"/>
                <w:sz w:val="17"/>
                <w:szCs w:val="17"/>
              </w:rPr>
              <w:t xml:space="preserve">→  Full flow works: form → DB → PDF → email reliably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C2B4A"/>
                <w:sz w:val="17"/>
                <w:szCs w:val="17"/>
              </w:rPr>
              <w:t xml:space="preserve">→  Admin edit and quote finalization verified</w:t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7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  ·  WEEKLY PLAN-AHEAD MODULE</w:t>
            </w:r>
            <w:r>
              <w:rPr>
                <w:rFonts w:ascii="Arial" w:cs="Arial" w:eastAsia="Arial" w:hAnsi="Arial"/>
                <w:color w:val="AACDE0"/>
                <w:sz w:val="16"/>
                <w:szCs w:val="16"/>
              </w:rPr>
              <w:t xml:space="preserve">  [ SEQUENTIAL — WATERFALL ]</w:t>
            </w:r>
          </w:p>
        </w:tc>
      </w:tr>
      <w:t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Step</w:t>
            </w:r>
          </w:p>
        </w:tc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Details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Deliverable</w:t>
            </w:r>
          </w:p>
        </w:tc>
        <w:tc>
          <w:tcPr>
            <w:tcW w:type="dxa" w:w="1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4.1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Plan-Ahead Query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DB query: retrieve all orders for the next 7 days. Sort and group by date. No complex scheduling engine — straightforward data retrieval.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Correct order list for next 7 days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4.2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Output Formatting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Format results into predefined category buckets (Appetizers / Main / Dessert / etc.) and Veg / Non-Veg splits. Uses existing menu classification from Excel. Presentation logic only.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Formatted plan-ahead data set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4.3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Kitchen-Friendly UI + Print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Clean desktop view of the weekly plan. Print-optimised CSS layout. Export / Print button. Output usable directly in kitchen workflow.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Printable weekly plan view ready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9360"/>
            <w:gridSpan w:val="5"/>
            <w:tcBorders>
              <w:top w:val="single" w:color="E8711B" w:sz="6"/>
              <w:left w:val="single" w:color="E8711B" w:sz="6"/>
              <w:bottom w:val="single" w:color="C5D3E8" w:sz="4"/>
              <w:right w:val="single" w:color="C5D3E8" w:sz="4"/>
            </w:tcBorders>
            <w:shd w:fill="FFF8F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711B"/>
                <w:sz w:val="17"/>
                <w:szCs w:val="17"/>
              </w:rPr>
              <w:t xml:space="preserve">EXIT CRITERIA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C2B4A"/>
                <w:sz w:val="17"/>
                <w:szCs w:val="17"/>
              </w:rPr>
              <w:t xml:space="preserve">→  Kitchen staff can generate and print 7-day plan in one click</w:t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B5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  ·  TESTING</w:t>
            </w:r>
            <w:r>
              <w:rPr>
                <w:rFonts w:ascii="Arial" w:cs="Arial" w:eastAsia="Arial" w:hAnsi="Arial"/>
                <w:color w:val="AACDE0"/>
                <w:sz w:val="16"/>
                <w:szCs w:val="16"/>
              </w:rPr>
              <w:t xml:space="preserve">  [ ITERATIVE ]</w:t>
            </w:r>
          </w:p>
        </w:tc>
      </w:tr>
      <w:t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Step</w:t>
            </w:r>
          </w:p>
        </w:tc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Details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Deliverable</w:t>
            </w:r>
          </w:p>
        </w:tc>
        <w:tc>
          <w:tcPr>
            <w:tcW w:type="dxa" w:w="1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5.1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Test: form submission; admin edits; PDF generation accuracy; email sending and confirmation behaviour; plan-ahead output correctness.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Functional test checklist signed off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5.2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Edge &amp; Negative Testing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Scenarios: missing/invalid fields; large item counts; multiple orders on same day; delivery vs pickup variations; empty state handling.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Edge case test results documented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5.3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Bug Fix Cycles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Fix → retest → validate loop until stable. All critical/high issues resolved before Phase 6.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Zero open critical or high severity issues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9360"/>
            <w:gridSpan w:val="5"/>
            <w:tcBorders>
              <w:top w:val="single" w:color="E8711B" w:sz="6"/>
              <w:left w:val="single" w:color="E8711B" w:sz="6"/>
              <w:bottom w:val="single" w:color="C5D3E8" w:sz="4"/>
              <w:right w:val="single" w:color="C5D3E8" w:sz="4"/>
            </w:tcBorders>
            <w:shd w:fill="FFF8F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711B"/>
                <w:sz w:val="17"/>
                <w:szCs w:val="17"/>
              </w:rPr>
              <w:t xml:space="preserve">EXIT CRITERIA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C2B4A"/>
                <w:sz w:val="17"/>
                <w:szCs w:val="17"/>
              </w:rPr>
              <w:t xml:space="preserve">→  No critical or high severity issues open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C2B4A"/>
                <w:sz w:val="17"/>
                <w:szCs w:val="17"/>
              </w:rPr>
              <w:t xml:space="preserve">→  All functional scenarios pass</w:t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6B1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6  ·  PACKAGING, DELIVERY &amp; GO-LIVE</w:t>
            </w:r>
            <w:r>
              <w:rPr>
                <w:rFonts w:ascii="Arial" w:cs="Arial" w:eastAsia="Arial" w:hAnsi="Arial"/>
                <w:color w:val="AACDE0"/>
                <w:sz w:val="16"/>
                <w:szCs w:val="16"/>
              </w:rPr>
              <w:t xml:space="preserve">  [ SEQUENTIAL — WATERFALL ]</w:t>
            </w:r>
          </w:p>
        </w:tc>
      </w:tr>
      <w:t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Step</w:t>
            </w:r>
          </w:p>
        </w:tc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Details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Deliverable</w:t>
            </w:r>
          </w:p>
        </w:tc>
        <w:tc>
          <w:tcPr>
            <w:tcW w:type="dxa" w:w="1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6.1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Package Delivery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Ship ZIP archive containing: full app source; .env.example (config template); setup instructions; DB init / migration scripts; build and run steps.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ZIP package delivered to client's engineer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6.2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Deployment Support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Light Q&amp;A with client's engineer during Hostinger deployment. Provide smoke test checklist to verify post-deploy functionality.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App deployed on Hostinger, smoke test passed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9360"/>
            <w:gridSpan w:val="5"/>
            <w:tcBorders>
              <w:top w:val="single" w:color="E8711B" w:sz="6"/>
              <w:left w:val="single" w:color="E8711B" w:sz="6"/>
              <w:bottom w:val="single" w:color="C5D3E8" w:sz="4"/>
              <w:right w:val="single" w:color="C5D3E8" w:sz="4"/>
            </w:tcBorders>
            <w:shd w:fill="FFF8F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711B"/>
                <w:sz w:val="17"/>
                <w:szCs w:val="17"/>
              </w:rPr>
              <w:t xml:space="preserve">EXIT CRITERIA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C2B4A"/>
                <w:sz w:val="17"/>
                <w:szCs w:val="17"/>
              </w:rPr>
              <w:t xml:space="preserve">→  App successfully deployed on client Hostinger environment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C2B4A"/>
                <w:sz w:val="17"/>
                <w:szCs w:val="17"/>
              </w:rPr>
              <w:t xml:space="preserve">→  Client sign-off received</w:t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7  ·  POST-DELIVERY SUPPORT</w:t>
            </w:r>
            <w:r>
              <w:rPr>
                <w:rFonts w:ascii="Arial" w:cs="Arial" w:eastAsia="Arial" w:hAnsi="Arial"/>
                <w:color w:val="AACDE0"/>
                <w:sz w:val="16"/>
                <w:szCs w:val="16"/>
              </w:rPr>
              <w:t xml:space="preserve">  [ ITERATIVE / ONGOING ]</w:t>
            </w:r>
          </w:p>
        </w:tc>
      </w:tr>
      <w:t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Step</w:t>
            </w:r>
          </w:p>
        </w:tc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Details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Deliverable</w:t>
            </w:r>
          </w:p>
        </w:tc>
        <w:tc>
          <w:tcPr>
            <w:tcW w:type="dxa" w:w="1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7.1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Issue Tracking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Log and triage: email delivery issues, PDF formatting bugs, data inconsistencies, UI errors reported by client.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Issues tracked in shared log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7.2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Bug Fixes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Fixes for issues within original scope only. No new feature requests. Each fix validated by client before closing.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Bugs resolved and confirmed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5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7.3</w:t>
            </w:r>
          </w:p>
        </w:tc>
        <w:tc>
          <w:tcPr>
            <w:tcW w:type="dxa" w:w="24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Operational Assistance</w:t>
            </w:r>
          </w:p>
        </w:tc>
        <w:tc>
          <w:tcPr>
            <w:tcW w:type="dxa" w:w="32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Minor config help, usage clarifications for owner/staff, environment variable or hosting adjustments if needed.</w:t>
            </w:r>
          </w:p>
        </w:tc>
        <w:tc>
          <w:tcPr>
            <w:tcW w:type="dxa" w:w="210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C2B4A"/>
                <w:sz w:val="18"/>
                <w:szCs w:val="18"/>
              </w:rPr>
              <w:t xml:space="preserve">Client and staff able to operate independently</w:t>
            </w:r>
          </w:p>
        </w:tc>
        <w:tc>
          <w:tcPr>
            <w:tcW w:type="dxa" w:w="116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EF4F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☐  To Do</w:t>
            </w:r>
          </w:p>
        </w:tc>
      </w:tr>
      <w:tr>
        <w:tc>
          <w:tcPr>
            <w:tcW w:type="dxa" w:w="9360"/>
            <w:gridSpan w:val="5"/>
            <w:tcBorders>
              <w:top w:val="single" w:color="E8711B" w:sz="6"/>
              <w:left w:val="single" w:color="E8711B" w:sz="6"/>
              <w:bottom w:val="single" w:color="C5D3E8" w:sz="4"/>
              <w:right w:val="single" w:color="C5D3E8" w:sz="4"/>
            </w:tcBorders>
            <w:shd w:fill="FFF8F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711B"/>
                <w:sz w:val="17"/>
                <w:szCs w:val="17"/>
              </w:rPr>
              <w:t xml:space="preserve">EXIT CRITERIA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C2B4A"/>
                <w:sz w:val="17"/>
                <w:szCs w:val="17"/>
              </w:rPr>
              <w:t xml:space="preserve">→  2-month support window complete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C2B4A"/>
                <w:sz w:val="17"/>
                <w:szCs w:val="17"/>
              </w:rPr>
              <w:t xml:space="preserve">→  No outstanding critical issues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C2B4A"/>
                <w:sz w:val="17"/>
                <w:szCs w:val="17"/>
              </w:rPr>
              <w:t xml:space="preserve">→  Project formally closed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3E8" w:sz="4" w:space="4"/>
      </w:pBdr>
      <w:tabs>
        <w:tab w:val="right" w:pos="9026"/>
      </w:tabs>
    </w:pPr>
    <w:r>
      <w:rPr>
        <w:rFonts w:ascii="Arial" w:cs="Arial" w:eastAsia="Arial" w:hAnsi="Arial"/>
        <w:color w:val="6B7A99"/>
        <w:sz w:val="16"/>
        <w:szCs w:val="16"/>
      </w:rPr>
      <w:t xml:space="preserve">Nidhi Catering  ·  Waterfall Execution Plan</w:t>
    </w:r>
    <w:r>
      <w:rPr>
        <w:rFonts w:ascii="Arial" w:cs="Arial" w:eastAsia="Arial" w:hAnsi="Arial"/>
        <w:color w:val="6B7A99"/>
        <w:sz w:val="16"/>
        <w:szCs w:val="16"/>
      </w:rPr>
      <w:t xml:space="preserve">	Page </w:t>
    </w:r>
    <w:r>
      <w:rPr>
        <w:color w:val="6B7A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A99"/>
        <w:sz w:val="16"/>
        <w:szCs w:val="16"/>
      </w:rPr>
      <w:t xml:space="preserve"> of </w:t>
    </w:r>
    <w:r>
      <w:rPr>
        <w:color w:val="6B7A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Nidhi Catering — Technical Execution Plan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A99"/>
        <w:sz w:val="16"/>
        <w:szCs w:val="16"/>
      </w:rPr>
      <w:t xml:space="preserve">DEVELOPER REFERENCE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2026-02-23T04:46:11.899Z</dcterms:created>
  <dcterms:modified xsi:type="dcterms:W3CDTF">2026-02-23T04:46:11.899Z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