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r>
        <w:rPr>
          <w:rFonts w:ascii="Arial" w:cs="Arial" w:eastAsia="Arial" w:hAnsi="Arial"/>
          <w:b w:val="false"/>
          <w:bCs w:val="false"/>
          <w:i w:val="false"/>
          <w:iCs w:val="false"/>
          <w:caps w:val="false"/>
          <w:color w:val="1A202C"/>
          <w:sz w:val="22"/>
          <w:szCs w:val="22"/>
        </w:rPr>
        <w:t xml:space="preserve"/>
      </w:r>
    </w:p>
    <w:p>
      <w:pPr>
        <w:spacing w:before="0" w:after="60"/>
        <w:jc w:val="center"/>
      </w:pPr>
      <w:r>
        <w:rPr>
          <w:rFonts w:ascii="Arial" w:cs="Arial" w:eastAsia="Arial" w:hAnsi="Arial"/>
          <w:b/>
          <w:bCs/>
          <w:caps/>
          <w:color w:val="5B8DB8"/>
          <w:sz w:val="22"/>
          <w:szCs w:val="22"/>
        </w:rPr>
        <w:t xml:space="preserve">INFOVISION</w:t>
      </w:r>
    </w:p>
    <w:p>
      <w:pPr>
        <w:spacing w:before="0" w:after="40"/>
        <w:jc w:val="center"/>
      </w:pPr>
      <w:r>
        <w:rPr>
          <w:rFonts w:ascii="Arial" w:cs="Arial" w:eastAsia="Arial" w:hAnsi="Arial"/>
          <w:b/>
          <w:bCs/>
          <w:color w:val="1B3A6B"/>
          <w:sz w:val="64"/>
          <w:szCs w:val="64"/>
        </w:rPr>
        <w:t xml:space="preserve">Prompt Validator</w:t>
      </w:r>
    </w:p>
    <w:p>
      <w:pPr>
        <w:spacing w:before="0" w:after="60"/>
        <w:jc w:val="center"/>
      </w:pPr>
      <w:r>
        <w:rPr>
          <w:rFonts w:ascii="Arial" w:cs="Arial" w:eastAsia="Arial" w:hAnsi="Arial"/>
          <w:b/>
          <w:bCs/>
          <w:color w:val="2E5FA3"/>
          <w:sz w:val="44"/>
          <w:szCs w:val="44"/>
        </w:rPr>
        <w:t xml:space="preserve">Data Strategy + Business Rules</w:t>
      </w:r>
    </w:p>
    <w:p>
      <w:pPr>
        <w:pBdr>
          <w:bottom w:val="single" w:color="C8922A" w:sz="12" w:space="1"/>
        </w:pBdr>
        <w:spacing w:before="0" w:after="120"/>
        <w:jc w:val="center"/>
      </w:pPr>
      <w:r>
        <w:rPr>
          <w:rFonts w:ascii="Arial" w:cs="Arial" w:eastAsia="Arial" w:hAnsi="Arial"/>
          <w:b w:val="false"/>
          <w:bCs w:val="false"/>
          <w:i w:val="false"/>
          <w:iCs w:val="false"/>
          <w:caps w:val="false"/>
          <w:color w:val="1A202C"/>
          <w:sz w:val="22"/>
          <w:szCs w:val="22"/>
        </w:rPr>
        <w:t xml:space="preserve"/>
      </w:r>
    </w:p>
    <w:p>
      <w:pPr>
        <w:spacing w:before="100" w:after="100"/>
        <w:jc w:val="center"/>
      </w:pPr>
      <w:r>
        <w:rPr>
          <w:rFonts w:ascii="Arial" w:cs="Arial" w:eastAsia="Arial" w:hAnsi="Arial"/>
          <w:i/>
          <w:iCs/>
          <w:color w:val="4A5568"/>
          <w:sz w:val="24"/>
          <w:szCs w:val="24"/>
        </w:rPr>
        <w:t xml:space="preserve">Data Pipeline Specification for Engineering Handoff</w:t>
      </w:r>
    </w:p>
    <w:p>
      <w:pPr>
        <w:spacing w:before="80" w:after="80"/>
      </w:pPr>
      <w:r>
        <w:rPr>
          <w:rFonts w:ascii="Arial" w:cs="Arial" w:eastAsia="Arial" w:hAnsi="Arial"/>
          <w:b w:val="false"/>
          <w:bCs w:val="false"/>
          <w:i w:val="false"/>
          <w:iCs w:val="false"/>
          <w:cap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8"/>
              <w:left w:val="none" w:color="FFFFFF" w:sz="0"/>
              <w:bottom w:val="single" w:color="C8922A" w:sz="8"/>
              <w:right w:val="none" w:color="FFFFFF" w:sz="0"/>
            </w:tcBorders>
            <w:shd w:fill="1B3A6B" w:val="clear"/>
            <w:tcMar>
              <w:top w:type="dxa" w:w="80"/>
              <w:left w:type="dxa" w:w="120"/>
              <w:bottom w:type="dxa" w:w="80"/>
              <w:right w:type="dxa" w:w="120"/>
            </w:tcMar>
            <w:vAlign w:val="top"/>
          </w:tcPr>
          <w:p>
            <w:pPr>
              <w:spacing w:before="120" w:after="120"/>
              <w:jc w:val="center"/>
            </w:pPr>
            <w:r>
              <w:rPr>
                <w:rFonts w:ascii="Arial" w:cs="Arial" w:eastAsia="Arial" w:hAnsi="Arial"/>
                <w:color w:val="FFFFFF"/>
                <w:sz w:val="18"/>
                <w:szCs w:val="18"/>
              </w:rPr>
              <w:t xml:space="preserve">Audience: Data Engineer  |  Phase 1 (Full)  ·  Phase 2 (Brief)  ·  Phase 3–4 (TBD)  |  Confidential</w:t>
            </w:r>
          </w:p>
        </w:tc>
      </w:tr>
    </w:tbl>
    <w:p>
      <w:pPr>
        <w:spacing w:before="300" w:after="0"/>
      </w:pPr>
      <w:r>
        <w:rPr>
          <w:rFonts w:ascii="Arial" w:cs="Arial" w:eastAsia="Arial" w:hAnsi="Arial"/>
          <w:b w:val="false"/>
          <w:bCs w:val="false"/>
          <w:i w:val="false"/>
          <w:iCs w:val="false"/>
          <w:caps w:val="false"/>
          <w:color w:val="1A202C"/>
          <w:sz w:val="22"/>
          <w:szCs w:val="22"/>
        </w:rPr>
        <w:t xml:space="preserve"/>
      </w:r>
    </w:p>
    <w:p>
      <w:pPr>
        <w:spacing w:before="0" w:after="30"/>
        <w:jc w:val="center"/>
      </w:pPr>
      <w:r>
        <w:rPr>
          <w:rFonts w:ascii="Arial" w:cs="Arial" w:eastAsia="Arial" w:hAnsi="Arial"/>
          <w:color w:val="B0BAC5"/>
          <w:sz w:val="18"/>
          <w:szCs w:val="18"/>
        </w:rPr>
        <w:t xml:space="preserve">2026  |  Internal Technical Document</w:t>
      </w:r>
    </w:p>
    <w:p>
      <w:r>
        <w:br w:type="page"/>
      </w:r>
    </w:p>
    <w:p>
      <w:pPr>
        <w:pStyle w:val="Heading1"/>
      </w:pPr>
      <w:r>
        <w:rPr>
          <w:rFonts w:ascii="Arial" w:cs="Arial" w:eastAsia="Arial" w:hAnsi="Arial"/>
          <w:b/>
          <w:bCs/>
          <w:caps/>
          <w:color w:val="1B3A6B"/>
          <w:sz w:val="36"/>
          <w:szCs w:val="36"/>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color w:val="C8922A"/>
                <w:sz w:val="18"/>
                <w:szCs w:val="18"/>
              </w:rPr>
              <w:t xml:space="preserve">SECTION 1  </w:t>
            </w:r>
            <w:r>
              <w:rPr>
                <w:rFonts w:ascii="Arial" w:cs="Arial" w:eastAsia="Arial" w:hAnsi="Arial"/>
                <w:b/>
                <w:bCs/>
                <w:caps/>
                <w:color w:val="FFFFFF"/>
                <w:sz w:val="18"/>
                <w:szCs w:val="18"/>
              </w:rPr>
              <w:t xml:space="preserve">BUSINESS CONTEXT &amp; ENGINEERING GOALS</w:t>
            </w:r>
          </w:p>
        </w:tc>
      </w:tr>
    </w:tbl>
    <w:p>
      <w:pPr>
        <w:spacing w:before="80" w:after="0"/>
      </w:pPr>
      <w:r>
        <w:rPr>
          <w:rFonts w:ascii="Arial" w:cs="Arial" w:eastAsia="Arial" w:hAnsi="Arial"/>
          <w:b w:val="false"/>
          <w:bCs w:val="false"/>
          <w:i w:val="false"/>
          <w:iCs w:val="false"/>
          <w:caps w:val="false"/>
          <w:color w:val="1A202C"/>
          <w:sz w:val="22"/>
          <w:szCs w:val="22"/>
        </w:rPr>
        <w:t xml:space="preserve"/>
      </w:r>
    </w:p>
    <w:p>
      <w:pPr>
        <w:pStyle w:val="Heading1"/>
        <w:pBdr>
          <w:bottom w:val="single" w:color="2E5FA3" w:sz="8" w:space="4"/>
        </w:pBdr>
        <w:spacing w:before="360" w:after="160"/>
      </w:pPr>
      <w:r>
        <w:rPr>
          <w:rFonts w:ascii="Arial" w:cs="Arial" w:eastAsia="Arial" w:hAnsi="Arial"/>
          <w:b/>
          <w:bCs/>
          <w:caps/>
          <w:color w:val="1B3A6B"/>
          <w:sz w:val="36"/>
          <w:szCs w:val="36"/>
        </w:rPr>
        <w:t xml:space="preserve">Business Context &amp; Engineering Goals</w:t>
      </w:r>
    </w:p>
    <w:p>
      <w:pPr>
        <w:spacing w:before="80" w:after="100"/>
        <w:jc w:val="left"/>
      </w:pPr>
      <w:r>
        <w:rPr>
          <w:rFonts w:ascii="Arial" w:cs="Arial" w:eastAsia="Arial" w:hAnsi="Arial"/>
          <w:b w:val="false"/>
          <w:bCs w:val="false"/>
          <w:i w:val="false"/>
          <w:iCs w:val="false"/>
          <w:caps w:val="false"/>
          <w:color w:val="1A202C"/>
          <w:sz w:val="22"/>
          <w:szCs w:val="22"/>
        </w:rPr>
        <w:t xml:space="preserve">The Prompt Validator is an enterprise-grade AI quality system serving 3,000 Infovision consultants across five personas and four delivery channels. It scores prompt quality, returns structured improvement suggestions, and applies an autofix mechanism that corrects and enhances prompts in real time.</w:t>
      </w:r>
    </w:p>
    <w:p>
      <w:pPr>
        <w:spacing w:before="80" w:after="100"/>
        <w:jc w:val="left"/>
      </w:pPr>
      <w:r>
        <w:rPr>
          <w:rFonts w:ascii="Arial" w:cs="Arial" w:eastAsia="Arial" w:hAnsi="Arial"/>
          <w:b w:val="false"/>
          <w:bCs w:val="false"/>
          <w:i w:val="false"/>
          <w:iCs w:val="false"/>
          <w:caps w:val="false"/>
          <w:color w:val="1A202C"/>
          <w:sz w:val="22"/>
          <w:szCs w:val="22"/>
        </w:rPr>
        <w:t xml:space="preserve">This document translates the strategic intelligence layer of the Prompt Validator into a precise data engineering specification. It defines the data that must be captured, the pipeline that must process it, the APIs that must serve it, and the business rules that govern quality and governance. Every component described here exists to support three measurable business outcomes.</w:t>
      </w:r>
    </w:p>
    <w:p>
      <w:pPr>
        <w:pStyle w:val="Heading2"/>
        <w:spacing w:before="280" w:after="120"/>
      </w:pPr>
      <w:r>
        <w:rPr>
          <w:rFonts w:ascii="Arial" w:cs="Arial" w:eastAsia="Arial" w:hAnsi="Arial"/>
          <w:b/>
          <w:bCs/>
          <w:color w:val="2E5FA3"/>
          <w:sz w:val="28"/>
          <w:szCs w:val="28"/>
        </w:rPr>
        <w:t xml:space="preserve">Business Goal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rPr>
          <w:tblHeader/>
        </w:trPr>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Business KPI</w:t>
            </w:r>
          </w:p>
        </w:tc>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Definition</w:t>
            </w:r>
          </w:p>
        </w:tc>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Pipeline Components Required</w:t>
            </w:r>
          </w:p>
        </w:tc>
        <w:tc>
          <w:tcPr>
            <w:tcW w:type="dxa" w:w="19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Target Metric</w:t>
            </w:r>
          </w:p>
        </w:tc>
      </w:tr>
      <w:tr>
        <w:tc>
          <w:tcPr>
            <w:tcW w:type="dxa" w:w="1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AI Adoption KPI</w:t>
            </w:r>
          </w:p>
        </w:tc>
        <w:tc>
          <w:tcPr>
            <w:tcW w:type="dxa" w:w="2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Measure the rate and depth at which consultants are actively using the Prompt Validator across the organization</w:t>
            </w:r>
          </w:p>
        </w:tc>
        <w:tc>
          <w:tcPr>
            <w:tcW w:type="dxa" w:w="2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Ingestion layer (all channels) · Team &amp; org aggregation · Adoption dashboard serving endpoint</w:t>
            </w:r>
          </w:p>
        </w:tc>
        <w:tc>
          <w:tcPr>
            <w:tcW w:type="dxa" w:w="19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80% of consultants active weekly within 6 months of full rollout</w:t>
            </w:r>
          </w:p>
        </w:tc>
      </w:tr>
      <w:tr>
        <w:tc>
          <w:tcPr>
            <w:tcW w:type="dxa" w:w="18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AI Literacy KPI</w:t>
            </w:r>
          </w:p>
        </w:tc>
        <w:tc>
          <w:tcPr>
            <w:tcW w:type="dxa" w:w="28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Measure how quickly and consistently individuals and teams improve their prompt quality over time</w:t>
            </w:r>
          </w:p>
        </w:tc>
        <w:tc>
          <w:tcPr>
            <w:tcW w:type="dxa" w:w="28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Learning velocity calculator · Individual aggregation · Score delta computation · Weekly summary generator</w:t>
            </w:r>
          </w:p>
        </w:tc>
        <w:tc>
          <w:tcPr>
            <w:tcW w:type="dxa" w:w="19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Positive learning velocity for 70% of active users within 8 weeks of onboarding</w:t>
            </w:r>
          </w:p>
        </w:tc>
      </w:tr>
      <w:tr>
        <w:tc>
          <w:tcPr>
            <w:tcW w:type="dxa" w:w="1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AI-Based Optimization KPI</w:t>
            </w:r>
          </w:p>
        </w:tc>
        <w:tc>
          <w:tcPr>
            <w:tcW w:type="dxa" w:w="2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Measure the contribution of AI-augmented work to delivery quality and client value across engagements</w:t>
            </w:r>
          </w:p>
        </w:tc>
        <w:tc>
          <w:tcPr>
            <w:tcW w:type="dxa" w:w="2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SDLC correlation layer · Prompt library curation · Team-level quality benchmarking · Classification engine</w:t>
            </w:r>
          </w:p>
        </w:tc>
        <w:tc>
          <w:tcPr>
            <w:tcW w:type="dxa" w:w="19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Statistically significant positive correlation between team prompt quality scores and delivery quality metrics within 12 months</w:t>
            </w:r>
          </w:p>
        </w:tc>
      </w:tr>
    </w:tbl>
    <w:p>
      <w:pPr>
        <w:spacing w:before="120" w:after="0"/>
      </w:pPr>
      <w:r>
        <w:rPr>
          <w:rFonts w:ascii="Arial" w:cs="Arial" w:eastAsia="Arial" w:hAnsi="Arial"/>
          <w:b w:val="false"/>
          <w:bCs w:val="false"/>
          <w:i w:val="false"/>
          <w:iCs w:val="false"/>
          <w:caps w:val="false"/>
          <w:color w:val="1A202C"/>
          <w:sz w:val="22"/>
          <w:szCs w:val="22"/>
        </w:rPr>
        <w:t xml:space="preserve"/>
      </w:r>
    </w:p>
    <w:p>
      <w:pPr>
        <w:pStyle w:val="Heading2"/>
        <w:spacing w:before="280" w:after="120"/>
      </w:pPr>
      <w:r>
        <w:rPr>
          <w:rFonts w:ascii="Arial" w:cs="Arial" w:eastAsia="Arial" w:hAnsi="Arial"/>
          <w:b/>
          <w:bCs/>
          <w:color w:val="2E5FA3"/>
          <w:sz w:val="28"/>
          <w:szCs w:val="28"/>
        </w:rPr>
        <w:t xml:space="preserve">Engineering Contract</w:t>
      </w:r>
    </w:p>
    <w:p>
      <w:pPr>
        <w:spacing w:before="80" w:after="100"/>
        <w:jc w:val="left"/>
      </w:pPr>
      <w:r>
        <w:rPr>
          <w:rFonts w:ascii="Arial" w:cs="Arial" w:eastAsia="Arial" w:hAnsi="Arial"/>
          <w:b w:val="false"/>
          <w:bCs w:val="false"/>
          <w:i w:val="false"/>
          <w:iCs w:val="false"/>
          <w:caps w:val="false"/>
          <w:color w:val="1A202C"/>
          <w:sz w:val="22"/>
          <w:szCs w:val="22"/>
        </w:rPr>
        <w:t xml:space="preserve">The data pipeline built from this specification must satisfy the following non-negotiable engineering commitments:</w:t>
      </w:r>
    </w:p>
    <w:p>
      <w:pPr>
        <w:pStyle w:val="ListParagraph"/>
        <w:numPr>
          <w:ilvl w:val="0"/>
          <w:numId w:val="2"/>
        </w:numPr>
        <w:spacing w:before="60" w:after="60"/>
      </w:pPr>
      <w:r>
        <w:rPr>
          <w:rFonts w:ascii="Arial" w:cs="Arial" w:eastAsia="Arial" w:hAnsi="Arial"/>
          <w:b/>
          <w:bCs/>
          <w:i w:val="false"/>
          <w:iCs w:val="false"/>
          <w:caps w:val="false"/>
          <w:color w:val="1A202C"/>
          <w:sz w:val="22"/>
          <w:szCs w:val="22"/>
        </w:rPr>
        <w:t xml:space="preserve">Completeness</w:t>
      </w:r>
      <w:r>
        <w:rPr>
          <w:rFonts w:ascii="Arial" w:cs="Arial" w:eastAsia="Arial" w:hAnsi="Arial"/>
          <w:b w:val="false"/>
          <w:bCs w:val="false"/>
          <w:i w:val="false"/>
          <w:iCs w:val="false"/>
          <w:caps w:val="false"/>
          <w:color w:val="1A202C"/>
          <w:sz w:val="22"/>
          <w:szCs w:val="22"/>
        </w:rPr>
        <w:t xml:space="preserve">: Every prompt interaction across all four delivery channels must generate a transaction record. No interaction should pass through the system without being captured.</w:t>
      </w:r>
    </w:p>
    <w:p>
      <w:pPr>
        <w:pStyle w:val="ListParagraph"/>
        <w:numPr>
          <w:ilvl w:val="0"/>
          <w:numId w:val="2"/>
        </w:numPr>
        <w:spacing w:before="60" w:after="60"/>
      </w:pPr>
      <w:r>
        <w:rPr>
          <w:rFonts w:ascii="Arial" w:cs="Arial" w:eastAsia="Arial" w:hAnsi="Arial"/>
          <w:b/>
          <w:bCs/>
          <w:i w:val="false"/>
          <w:iCs w:val="false"/>
          <w:caps w:val="false"/>
          <w:color w:val="1A202C"/>
          <w:sz w:val="22"/>
          <w:szCs w:val="22"/>
        </w:rPr>
        <w:t xml:space="preserve">Consistency</w:t>
      </w:r>
      <w:r>
        <w:rPr>
          <w:rFonts w:ascii="Arial" w:cs="Arial" w:eastAsia="Arial" w:hAnsi="Arial"/>
          <w:b w:val="false"/>
          <w:bCs w:val="false"/>
          <w:i w:val="false"/>
          <w:iCs w:val="false"/>
          <w:caps w:val="false"/>
          <w:color w:val="1A202C"/>
          <w:sz w:val="22"/>
          <w:szCs w:val="22"/>
        </w:rPr>
        <w:t xml:space="preserve">: The same 16-field schema must be populated regardless of which channel initiated the interaction. Channel-specific adapters normalize to the standard event format before any downstream processing.</w:t>
      </w:r>
    </w:p>
    <w:p>
      <w:pPr>
        <w:pStyle w:val="ListParagraph"/>
        <w:numPr>
          <w:ilvl w:val="0"/>
          <w:numId w:val="2"/>
        </w:numPr>
        <w:spacing w:before="60" w:after="60"/>
      </w:pPr>
      <w:r>
        <w:rPr>
          <w:rFonts w:ascii="Arial" w:cs="Arial" w:eastAsia="Arial" w:hAnsi="Arial"/>
          <w:b/>
          <w:bCs/>
          <w:i w:val="false"/>
          <w:iCs w:val="false"/>
          <w:caps w:val="false"/>
          <w:color w:val="1A202C"/>
          <w:sz w:val="22"/>
          <w:szCs w:val="22"/>
        </w:rPr>
        <w:t xml:space="preserve">Privacy by design</w:t>
      </w:r>
      <w:r>
        <w:rPr>
          <w:rFonts w:ascii="Arial" w:cs="Arial" w:eastAsia="Arial" w:hAnsi="Arial"/>
          <w:b w:val="false"/>
          <w:bCs w:val="false"/>
          <w:i w:val="false"/>
          <w:iCs w:val="false"/>
          <w:caps w:val="false"/>
          <w:color w:val="1A202C"/>
          <w:sz w:val="22"/>
          <w:szCs w:val="22"/>
        </w:rPr>
        <w:t xml:space="preserve">: PII fields (user identity, original prompt, corrected prompt) must be masked at the serving layer for all leadership-facing endpoints. Raw data is accessible only to authorized pipeline processes and auditing systems.</w:t>
      </w:r>
    </w:p>
    <w:p>
      <w:pPr>
        <w:pStyle w:val="ListParagraph"/>
        <w:numPr>
          <w:ilvl w:val="0"/>
          <w:numId w:val="2"/>
        </w:numPr>
        <w:spacing w:before="60" w:after="60"/>
      </w:pPr>
      <w:r>
        <w:rPr>
          <w:rFonts w:ascii="Arial" w:cs="Arial" w:eastAsia="Arial" w:hAnsi="Arial"/>
          <w:b/>
          <w:bCs/>
          <w:i w:val="false"/>
          <w:iCs w:val="false"/>
          <w:caps w:val="false"/>
          <w:color w:val="1A202C"/>
          <w:sz w:val="22"/>
          <w:szCs w:val="22"/>
        </w:rPr>
        <w:t xml:space="preserve">Single source of truth</w:t>
      </w:r>
      <w:r>
        <w:rPr>
          <w:rFonts w:ascii="Arial" w:cs="Arial" w:eastAsia="Arial" w:hAnsi="Arial"/>
          <w:b w:val="false"/>
          <w:bCs w:val="false"/>
          <w:i w:val="false"/>
          <w:iCs w:val="false"/>
          <w:caps w:val="false"/>
          <w:color w:val="1A202C"/>
          <w:sz w:val="22"/>
          <w:szCs w:val="22"/>
        </w:rPr>
        <w:t xml:space="preserve">: The Phase 1 backend engine is the canonical source of all scoring, classification, and aggregation logic. Phases 2 through 4 extend this engine via channel adapters — they do not replicate or override its logic.</w:t>
      </w:r>
    </w:p>
    <w:p>
      <w:pPr>
        <w:pStyle w:val="ListParagraph"/>
        <w:numPr>
          <w:ilvl w:val="0"/>
          <w:numId w:val="2"/>
        </w:numPr>
        <w:spacing w:before="60" w:after="60"/>
      </w:pPr>
      <w:r>
        <w:rPr>
          <w:rFonts w:ascii="Arial" w:cs="Arial" w:eastAsia="Arial" w:hAnsi="Arial"/>
          <w:b/>
          <w:bCs/>
          <w:i w:val="false"/>
          <w:iCs w:val="false"/>
          <w:caps w:val="false"/>
          <w:color w:val="1A202C"/>
          <w:sz w:val="22"/>
          <w:szCs w:val="22"/>
        </w:rPr>
        <w:t xml:space="preserve">Extensibility</w:t>
      </w:r>
      <w:r>
        <w:rPr>
          <w:rFonts w:ascii="Arial" w:cs="Arial" w:eastAsia="Arial" w:hAnsi="Arial"/>
          <w:b w:val="false"/>
          <w:bCs w:val="false"/>
          <w:i w:val="false"/>
          <w:iCs w:val="false"/>
          <w:caps w:val="false"/>
          <w:color w:val="1A202C"/>
          <w:sz w:val="22"/>
          <w:szCs w:val="22"/>
        </w:rPr>
        <w:t xml:space="preserve">: The schema, pipeline stages, and API contracts must be designed to accommodate Phase 2 (MCP/LLM), Phase 3 (Chat), and Phase 4 (IDE) without requiring structural rebuilds of the Phase 1 foundation.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color w:val="C8922A"/>
                <w:sz w:val="18"/>
                <w:szCs w:val="18"/>
              </w:rPr>
              <w:t xml:space="preserve">SECTION 2  </w:t>
            </w:r>
            <w:r>
              <w:rPr>
                <w:rFonts w:ascii="Arial" w:cs="Arial" w:eastAsia="Arial" w:hAnsi="Arial"/>
                <w:b/>
                <w:bCs/>
                <w:caps/>
                <w:color w:val="FFFFFF"/>
                <w:sz w:val="18"/>
                <w:szCs w:val="18"/>
              </w:rPr>
              <w:t xml:space="preserve">DATA CAPTURE SPECIFICATION</w:t>
            </w:r>
          </w:p>
        </w:tc>
      </w:tr>
    </w:tbl>
    <w:p>
      <w:pPr>
        <w:spacing w:before="80" w:after="0"/>
      </w:pPr>
      <w:r>
        <w:rPr>
          <w:rFonts w:ascii="Arial" w:cs="Arial" w:eastAsia="Arial" w:hAnsi="Arial"/>
          <w:b w:val="false"/>
          <w:bCs w:val="false"/>
          <w:i w:val="false"/>
          <w:iCs w:val="false"/>
          <w:caps w:val="false"/>
          <w:color w:val="1A202C"/>
          <w:sz w:val="22"/>
          <w:szCs w:val="22"/>
        </w:rPr>
        <w:t xml:space="preserve"/>
      </w:r>
    </w:p>
    <w:p>
      <w:pPr>
        <w:pStyle w:val="Heading1"/>
        <w:pBdr>
          <w:bottom w:val="single" w:color="2E5FA3" w:sz="8" w:space="4"/>
        </w:pBdr>
        <w:spacing w:before="360" w:after="160"/>
      </w:pPr>
      <w:r>
        <w:rPr>
          <w:rFonts w:ascii="Arial" w:cs="Arial" w:eastAsia="Arial" w:hAnsi="Arial"/>
          <w:b/>
          <w:bCs/>
          <w:caps/>
          <w:color w:val="1B3A6B"/>
          <w:sz w:val="36"/>
          <w:szCs w:val="36"/>
        </w:rPr>
        <w:t xml:space="preserve">Data Capture Specification</w:t>
      </w:r>
    </w:p>
    <w:p>
      <w:pPr>
        <w:spacing w:before="80" w:after="100"/>
        <w:jc w:val="left"/>
      </w:pPr>
      <w:r>
        <w:rPr>
          <w:rFonts w:ascii="Arial" w:cs="Arial" w:eastAsia="Arial" w:hAnsi="Arial"/>
          <w:b w:val="false"/>
          <w:bCs w:val="false"/>
          <w:i w:val="false"/>
          <w:iCs w:val="false"/>
          <w:caps w:val="false"/>
          <w:color w:val="1A202C"/>
          <w:sz w:val="22"/>
          <w:szCs w:val="22"/>
        </w:rPr>
        <w:t xml:space="preserve">Every prompt interaction processed by the Prompt Validator must generate a structured transaction event — the atomic unit from which all analytics, reporting, velocity calculations, and KPI measurements are derived. The following bullets define the core requirements for the data capture layer before the field-level specifications are presented.</w:t>
      </w:r>
    </w:p>
    <w:p>
      <w:pPr>
        <w:pStyle w:val="Heading2"/>
        <w:spacing w:before="280" w:after="120"/>
      </w:pPr>
      <w:r>
        <w:rPr>
          <w:rFonts w:ascii="Arial" w:cs="Arial" w:eastAsia="Arial" w:hAnsi="Arial"/>
          <w:b/>
          <w:bCs/>
          <w:color w:val="2E5FA3"/>
          <w:sz w:val="28"/>
          <w:szCs w:val="28"/>
        </w:rPr>
        <w:t xml:space="preserve">Capture Requirements — Key Rules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Every interaction across all four delivery channels (Backend API, MCP/LLM, Chat Interface, IDE Plugin) must produce a transaction record using the identical 16-field schema</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Events are generated at two points: primary fields at prompt submit time; derived fields at session close and post-enrichment</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All 16 fields must be present in the enriched_events table — raw_events may contain nulls for fields populated during enrichment</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Duplicate detection is mandatory: composite key of event_id + user_id + event_timestamp must be enforced at the ingestion stage</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PII classification must be applied to every field before the record enters the serving layer — three classes apply: PII-High (prompt content), PII-Low (user identity), and Non-PII</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Retention schedules differ by PII class: PII-High fields are retained for 24 months; PII-Low and Non-PII fields are retained for 60 months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The corrected_prompt and autofix_improvement_points fields are nullable — not all interactions will trigger the autofix engine; nulls must be handled gracefully in all downstream calculations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prompt_type_classification and prompt_complexity_class are populated by the enrichment engine, not the client — they will be null in raw_events and populated in enriched_events</w:t>
      </w:r>
    </w:p>
    <w:p>
      <w:pPr>
        <w:spacing w:before="120" w:after="0"/>
      </w:pPr>
      <w:r>
        <w:rPr>
          <w:rFonts w:ascii="Arial" w:cs="Arial" w:eastAsia="Arial" w:hAnsi="Arial"/>
          <w:b w:val="false"/>
          <w:bCs w:val="false"/>
          <w:i w:val="false"/>
          <w:iCs w:val="false"/>
          <w:caps w:val="false"/>
          <w:color w:val="1A202C"/>
          <w:sz w:val="22"/>
          <w:szCs w:val="22"/>
        </w:rPr>
        <w:t xml:space="preserve"/>
      </w:r>
    </w:p>
    <w:p>
      <w:pPr>
        <w:pStyle w:val="Heading2"/>
        <w:spacing w:before="280" w:after="120"/>
      </w:pPr>
      <w:r>
        <w:rPr>
          <w:rFonts w:ascii="Arial" w:cs="Arial" w:eastAsia="Arial" w:hAnsi="Arial"/>
          <w:b/>
          <w:bCs/>
          <w:color w:val="2E5FA3"/>
          <w:sz w:val="28"/>
          <w:szCs w:val="28"/>
        </w:rPr>
        <w:t xml:space="preserve">Primary Transaction Fields (8 Core Fields)</w:t>
      </w:r>
    </w:p>
    <w:p>
      <w:pPr>
        <w:spacing w:before="80" w:after="100"/>
        <w:jc w:val="left"/>
      </w:pPr>
      <w:r>
        <w:rPr>
          <w:rFonts w:ascii="Arial" w:cs="Arial" w:eastAsia="Arial" w:hAnsi="Arial"/>
          <w:b w:val="false"/>
          <w:bCs w:val="false"/>
          <w:i w:val="false"/>
          <w:iCs w:val="false"/>
          <w:caps w:val="false"/>
          <w:color w:val="1A202C"/>
          <w:sz w:val="22"/>
          <w:szCs w:val="22"/>
        </w:rPr>
        <w:t xml:space="preserve">These eight fields form the fundamental contract between the client-side submission and the data pipeline. They must be provided or derivable at the point of prompt submission.</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820"/>
        <w:gridCol w:w="560"/>
        <w:gridCol w:w="1000"/>
        <w:gridCol w:w="1160"/>
        <w:gridCol w:w="2500"/>
        <w:gridCol w:w="700"/>
        <w:gridCol w:w="620"/>
      </w:tblGrid>
      <w:tr>
        <w:trPr>
          <w:tblHeader/>
        </w:trPr>
        <w:tc>
          <w:tcPr>
            <w:tcW w:type="dxa" w:w="15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7"/>
                <w:szCs w:val="17"/>
              </w:rPr>
              <w:t xml:space="preserve">Field Name</w:t>
            </w:r>
          </w:p>
        </w:tc>
        <w:tc>
          <w:tcPr>
            <w:tcW w:type="dxa" w:w="82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7"/>
                <w:szCs w:val="17"/>
              </w:rPr>
              <w:t xml:space="preserve">Data Type</w:t>
            </w:r>
          </w:p>
        </w:tc>
        <w:tc>
          <w:tcPr>
            <w:tcW w:type="dxa" w:w="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7"/>
                <w:szCs w:val="17"/>
              </w:rPr>
              <w:t xml:space="preserve">Required</w:t>
            </w:r>
          </w:p>
        </w:tc>
        <w:tc>
          <w:tcPr>
            <w:tcW w:type="dxa" w:w="1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7"/>
                <w:szCs w:val="17"/>
              </w:rPr>
              <w:t xml:space="preserve">Source System</w:t>
            </w:r>
          </w:p>
        </w:tc>
        <w:tc>
          <w:tcPr>
            <w:tcW w:type="dxa" w:w="11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7"/>
                <w:szCs w:val="17"/>
              </w:rPr>
              <w:t xml:space="preserve">Capture Trigger</w:t>
            </w:r>
          </w:p>
        </w:tc>
        <w:tc>
          <w:tcPr>
            <w:tcW w:type="dxa" w:w="25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7"/>
                <w:szCs w:val="17"/>
              </w:rPr>
              <w:t xml:space="preserve">Business Purpose</w:t>
            </w:r>
          </w:p>
        </w:tc>
        <w:tc>
          <w:tcPr>
            <w:tcW w:type="dxa" w:w="7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7"/>
                <w:szCs w:val="17"/>
              </w:rPr>
              <w:t xml:space="preserve">PII Class</w:t>
            </w:r>
          </w:p>
        </w:tc>
        <w:tc>
          <w:tcPr>
            <w:tcW w:type="dxa" w:w="62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7"/>
                <w:szCs w:val="17"/>
              </w:rPr>
              <w:t xml:space="preserve">Retention</w:t>
            </w:r>
          </w:p>
        </w:tc>
      </w:tr>
      <w:tr>
        <w:tc>
          <w:tcPr>
            <w:tcW w:type="dxa" w:w="15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original_prompt</w:t>
            </w:r>
          </w:p>
        </w:tc>
        <w:tc>
          <w:tcPr>
            <w:tcW w:type="dxa" w:w="82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TEXT</w:t>
            </w:r>
          </w:p>
        </w:tc>
        <w:tc>
          <w:tcPr>
            <w:tcW w:type="dxa" w:w="5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Required</w:t>
            </w:r>
          </w:p>
        </w:tc>
        <w:tc>
          <w:tcPr>
            <w:tcW w:type="dxa" w:w="1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Client submission</w:t>
            </w:r>
          </w:p>
        </w:tc>
        <w:tc>
          <w:tcPr>
            <w:tcW w:type="dxa" w:w="11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On prompt submit</w:t>
            </w:r>
          </w:p>
        </w:tc>
        <w:tc>
          <w:tcPr>
            <w:tcW w:type="dxa" w:w="25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Baseline quality metric; before/after comparison; prompt library source material</w:t>
            </w:r>
          </w:p>
        </w:tc>
        <w:tc>
          <w:tcPr>
            <w:tcW w:type="dxa" w:w="7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PII-High</w:t>
            </w:r>
          </w:p>
        </w:tc>
        <w:tc>
          <w:tcPr>
            <w:tcW w:type="dxa" w:w="62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24 months</w:t>
            </w:r>
          </w:p>
        </w:tc>
      </w:tr>
      <w:tr>
        <w:tc>
          <w:tcPr>
            <w:tcW w:type="dxa" w:w="15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user_id</w:t>
            </w:r>
          </w:p>
        </w:tc>
        <w:tc>
          <w:tcPr>
            <w:tcW w:type="dxa" w:w="82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VARCHAR(36)</w:t>
            </w:r>
          </w:p>
        </w:tc>
        <w:tc>
          <w:tcPr>
            <w:tcW w:type="dxa" w:w="5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Required</w:t>
            </w:r>
          </w:p>
        </w:tc>
        <w:tc>
          <w:tcPr>
            <w:tcW w:type="dxa" w:w="1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Auth service</w:t>
            </w:r>
          </w:p>
        </w:tc>
        <w:tc>
          <w:tcPr>
            <w:tcW w:type="dxa" w:w="11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On prompt submit</w:t>
            </w:r>
          </w:p>
        </w:tc>
        <w:tc>
          <w:tcPr>
            <w:tcW w:type="dxa" w:w="25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Individual tracking, team rollups, velocity attribution</w:t>
            </w:r>
          </w:p>
        </w:tc>
        <w:tc>
          <w:tcPr>
            <w:tcW w:type="dxa" w:w="7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PII-Low</w:t>
            </w:r>
          </w:p>
        </w:tc>
        <w:tc>
          <w:tcPr>
            <w:tcW w:type="dxa" w:w="62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60 months</w:t>
            </w:r>
          </w:p>
        </w:tc>
      </w:tr>
      <w:tr>
        <w:tc>
          <w:tcPr>
            <w:tcW w:type="dxa" w:w="15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persona_id</w:t>
            </w:r>
          </w:p>
        </w:tc>
        <w:tc>
          <w:tcPr>
            <w:tcW w:type="dxa" w:w="82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VARCHAR(20)</w:t>
            </w:r>
          </w:p>
        </w:tc>
        <w:tc>
          <w:tcPr>
            <w:tcW w:type="dxa" w:w="5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Required</w:t>
            </w:r>
          </w:p>
        </w:tc>
        <w:tc>
          <w:tcPr>
            <w:tcW w:type="dxa" w:w="1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User profile service</w:t>
            </w:r>
          </w:p>
        </w:tc>
        <w:tc>
          <w:tcPr>
            <w:tcW w:type="dxa" w:w="11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On session init</w:t>
            </w:r>
          </w:p>
        </w:tc>
        <w:tc>
          <w:tcPr>
            <w:tcW w:type="dxa" w:w="25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Persona-weighted scoring; role-based segmentation</w:t>
            </w:r>
          </w:p>
        </w:tc>
        <w:tc>
          <w:tcPr>
            <w:tcW w:type="dxa" w:w="7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Non-PII</w:t>
            </w:r>
          </w:p>
        </w:tc>
        <w:tc>
          <w:tcPr>
            <w:tcW w:type="dxa" w:w="62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60 months</w:t>
            </w:r>
          </w:p>
        </w:tc>
      </w:tr>
      <w:tr>
        <w:tc>
          <w:tcPr>
            <w:tcW w:type="dxa" w:w="15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prompt_type_classification</w:t>
            </w:r>
          </w:p>
        </w:tc>
        <w:tc>
          <w:tcPr>
            <w:tcW w:type="dxa" w:w="82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VARCHAR(50)</w:t>
            </w:r>
          </w:p>
        </w:tc>
        <w:tc>
          <w:tcPr>
            <w:tcW w:type="dxa" w:w="5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Required*</w:t>
            </w:r>
          </w:p>
        </w:tc>
        <w:tc>
          <w:tcPr>
            <w:tcW w:type="dxa" w:w="1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Classification engine</w:t>
            </w:r>
          </w:p>
        </w:tc>
        <w:tc>
          <w:tcPr>
            <w:tcW w:type="dxa" w:w="11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Post-ingestion (enrichment)</w:t>
            </w:r>
          </w:p>
        </w:tc>
        <w:tc>
          <w:tcPr>
            <w:tcW w:type="dxa" w:w="25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Use-case pattern analysis; role-based benchmarking; training gap identification</w:t>
            </w:r>
          </w:p>
        </w:tc>
        <w:tc>
          <w:tcPr>
            <w:tcW w:type="dxa" w:w="7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Non-PII</w:t>
            </w:r>
          </w:p>
        </w:tc>
        <w:tc>
          <w:tcPr>
            <w:tcW w:type="dxa" w:w="62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60 months</w:t>
            </w:r>
          </w:p>
        </w:tc>
      </w:tr>
      <w:tr>
        <w:tc>
          <w:tcPr>
            <w:tcW w:type="dxa" w:w="15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validation_score</w:t>
            </w:r>
          </w:p>
        </w:tc>
        <w:tc>
          <w:tcPr>
            <w:tcW w:type="dxa" w:w="82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DECIMAL(5,2)</w:t>
            </w:r>
          </w:p>
        </w:tc>
        <w:tc>
          <w:tcPr>
            <w:tcW w:type="dxa" w:w="5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Required</w:t>
            </w:r>
          </w:p>
        </w:tc>
        <w:tc>
          <w:tcPr>
            <w:tcW w:type="dxa" w:w="1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Scoring engine</w:t>
            </w:r>
          </w:p>
        </w:tc>
        <w:tc>
          <w:tcPr>
            <w:tcW w:type="dxa" w:w="11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Post-scoring (enrichment)</w:t>
            </w:r>
          </w:p>
        </w:tc>
        <w:tc>
          <w:tcPr>
            <w:tcW w:type="dxa" w:w="25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Primary longitudinal quality metric; KPI foundation</w:t>
            </w:r>
          </w:p>
        </w:tc>
        <w:tc>
          <w:tcPr>
            <w:tcW w:type="dxa" w:w="7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Non-PII</w:t>
            </w:r>
          </w:p>
        </w:tc>
        <w:tc>
          <w:tcPr>
            <w:tcW w:type="dxa" w:w="62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60 months</w:t>
            </w:r>
          </w:p>
        </w:tc>
      </w:tr>
      <w:tr>
        <w:tc>
          <w:tcPr>
            <w:tcW w:type="dxa" w:w="15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suggestion_count</w:t>
            </w:r>
          </w:p>
        </w:tc>
        <w:tc>
          <w:tcPr>
            <w:tcW w:type="dxa" w:w="82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INT</w:t>
            </w:r>
          </w:p>
        </w:tc>
        <w:tc>
          <w:tcPr>
            <w:tcW w:type="dxa" w:w="5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Required</w:t>
            </w:r>
          </w:p>
        </w:tc>
        <w:tc>
          <w:tcPr>
            <w:tcW w:type="dxa" w:w="1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Scoring engine</w:t>
            </w:r>
          </w:p>
        </w:tc>
        <w:tc>
          <w:tcPr>
            <w:tcW w:type="dxa" w:w="11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Post-scoring (enrichment)</w:t>
            </w:r>
          </w:p>
        </w:tc>
        <w:tc>
          <w:tcPr>
            <w:tcW w:type="dxa" w:w="25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Quality gap proxy; tracks whether users absorb feedback over time</w:t>
            </w:r>
          </w:p>
        </w:tc>
        <w:tc>
          <w:tcPr>
            <w:tcW w:type="dxa" w:w="7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Non-PII</w:t>
            </w:r>
          </w:p>
        </w:tc>
        <w:tc>
          <w:tcPr>
            <w:tcW w:type="dxa" w:w="62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60 months</w:t>
            </w:r>
          </w:p>
        </w:tc>
      </w:tr>
      <w:tr>
        <w:tc>
          <w:tcPr>
            <w:tcW w:type="dxa" w:w="15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corrected_prompt</w:t>
            </w:r>
          </w:p>
        </w:tc>
        <w:tc>
          <w:tcPr>
            <w:tcW w:type="dxa" w:w="82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TEXT</w:t>
            </w:r>
          </w:p>
        </w:tc>
        <w:tc>
          <w:tcPr>
            <w:tcW w:type="dxa" w:w="5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Nullable</w:t>
            </w:r>
          </w:p>
        </w:tc>
        <w:tc>
          <w:tcPr>
            <w:tcW w:type="dxa" w:w="1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Autofix engine</w:t>
            </w:r>
          </w:p>
        </w:tc>
        <w:tc>
          <w:tcPr>
            <w:tcW w:type="dxa" w:w="11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On autofix apply</w:t>
            </w:r>
          </w:p>
        </w:tc>
        <w:tc>
          <w:tcPr>
            <w:tcW w:type="dxa" w:w="25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Library candidate source; before/after analysis</w:t>
            </w:r>
          </w:p>
        </w:tc>
        <w:tc>
          <w:tcPr>
            <w:tcW w:type="dxa" w:w="7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PII-High</w:t>
            </w:r>
          </w:p>
        </w:tc>
        <w:tc>
          <w:tcPr>
            <w:tcW w:type="dxa" w:w="62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24 months</w:t>
            </w:r>
          </w:p>
        </w:tc>
      </w:tr>
      <w:tr>
        <w:tc>
          <w:tcPr>
            <w:tcW w:type="dxa" w:w="15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autofix_improvement_points</w:t>
            </w:r>
          </w:p>
        </w:tc>
        <w:tc>
          <w:tcPr>
            <w:tcW w:type="dxa" w:w="82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JSON</w:t>
            </w:r>
          </w:p>
        </w:tc>
        <w:tc>
          <w:tcPr>
            <w:tcW w:type="dxa" w:w="5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Nullable</w:t>
            </w:r>
          </w:p>
        </w:tc>
        <w:tc>
          <w:tcPr>
            <w:tcW w:type="dxa" w:w="1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Autofix engine</w:t>
            </w:r>
          </w:p>
        </w:tc>
        <w:tc>
          <w:tcPr>
            <w:tcW w:type="dxa" w:w="11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On autofix apply</w:t>
            </w:r>
          </w:p>
        </w:tc>
        <w:tc>
          <w:tcPr>
            <w:tcW w:type="dxa" w:w="25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Structured learning record; aggregated improvement pattern analysis</w:t>
            </w:r>
          </w:p>
        </w:tc>
        <w:tc>
          <w:tcPr>
            <w:tcW w:type="dxa" w:w="7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Non-PII</w:t>
            </w:r>
          </w:p>
        </w:tc>
        <w:tc>
          <w:tcPr>
            <w:tcW w:type="dxa" w:w="62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60 months</w:t>
            </w:r>
          </w:p>
        </w:tc>
      </w:tr>
    </w:tbl>
    <w:p>
      <w:pPr>
        <w:spacing w:before="80" w:after="100"/>
        <w:jc w:val="left"/>
      </w:pPr>
      <w:r>
        <w:rPr>
          <w:rFonts w:ascii="Arial" w:cs="Arial" w:eastAsia="Arial" w:hAnsi="Arial"/>
          <w:b w:val="false"/>
          <w:bCs w:val="false"/>
          <w:i/>
          <w:iCs/>
          <w:caps w:val="false"/>
          <w:color w:val="4A5568"/>
          <w:sz w:val="22"/>
          <w:szCs w:val="22"/>
        </w:rPr>
        <w:t xml:space="preserve">* Populated by enrichment engine post-ingestion. Null in raw_events; required in enriched_events.</w:t>
      </w:r>
    </w:p>
    <w:p>
      <w:pPr>
        <w:spacing w:before="120" w:after="0"/>
      </w:pPr>
      <w:r>
        <w:rPr>
          <w:rFonts w:ascii="Arial" w:cs="Arial" w:eastAsia="Arial" w:hAnsi="Arial"/>
          <w:b w:val="false"/>
          <w:bCs w:val="false"/>
          <w:i w:val="false"/>
          <w:iCs w:val="false"/>
          <w:caps w:val="false"/>
          <w:color w:val="1A202C"/>
          <w:sz w:val="22"/>
          <w:szCs w:val="22"/>
        </w:rPr>
        <w:t xml:space="preserve"/>
      </w:r>
    </w:p>
    <w:p>
      <w:pPr>
        <w:pStyle w:val="Heading2"/>
        <w:spacing w:before="280" w:after="120"/>
      </w:pPr>
      <w:r>
        <w:rPr>
          <w:rFonts w:ascii="Arial" w:cs="Arial" w:eastAsia="Arial" w:hAnsi="Arial"/>
          <w:b/>
          <w:bCs/>
          <w:color w:val="2E5FA3"/>
          <w:sz w:val="28"/>
          <w:szCs w:val="28"/>
        </w:rPr>
        <w:t xml:space="preserve">Strategic Transaction Fields (8 Additional Fields)</w:t>
      </w:r>
    </w:p>
    <w:p>
      <w:pPr>
        <w:spacing w:before="80" w:after="100"/>
        <w:jc w:val="left"/>
      </w:pPr>
      <w:r>
        <w:rPr>
          <w:rFonts w:ascii="Arial" w:cs="Arial" w:eastAsia="Arial" w:hAnsi="Arial"/>
          <w:b w:val="false"/>
          <w:bCs w:val="false"/>
          <w:i w:val="false"/>
          <w:iCs w:val="false"/>
          <w:caps w:val="false"/>
          <w:color w:val="1A202C"/>
          <w:sz w:val="22"/>
          <w:szCs w:val="22"/>
        </w:rPr>
        <w:t xml:space="preserve">These eight fields are either system-generated at capture time or derived during pipeline processing. They enrich the base transaction record and are required for all aggregation, velocity, and governance functions.</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500"/>
        <w:gridCol w:w="820"/>
        <w:gridCol w:w="560"/>
        <w:gridCol w:w="1060"/>
        <w:gridCol w:w="2700"/>
        <w:gridCol w:w="700"/>
        <w:gridCol w:w="620"/>
      </w:tblGrid>
      <w:tr>
        <w:trPr>
          <w:tblHeader/>
        </w:trPr>
        <w:tc>
          <w:tcPr>
            <w:tcW w:type="dxa" w:w="15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7"/>
                <w:szCs w:val="17"/>
              </w:rPr>
              <w:t xml:space="preserve">Field Name</w:t>
            </w:r>
          </w:p>
        </w:tc>
        <w:tc>
          <w:tcPr>
            <w:tcW w:type="dxa" w:w="82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7"/>
                <w:szCs w:val="17"/>
              </w:rPr>
              <w:t xml:space="preserve">Data Type</w:t>
            </w:r>
          </w:p>
        </w:tc>
        <w:tc>
          <w:tcPr>
            <w:tcW w:type="dxa" w:w="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7"/>
                <w:szCs w:val="17"/>
              </w:rPr>
              <w:t xml:space="preserve">Required</w:t>
            </w:r>
          </w:p>
        </w:tc>
        <w:tc>
          <w:tcPr>
            <w:tcW w:type="dxa" w:w="10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7"/>
                <w:szCs w:val="17"/>
              </w:rPr>
              <w:t xml:space="preserve">Derived / Captured</w:t>
            </w:r>
          </w:p>
        </w:tc>
        <w:tc>
          <w:tcPr>
            <w:tcW w:type="dxa" w:w="27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7"/>
                <w:szCs w:val="17"/>
              </w:rPr>
              <w:t xml:space="preserve">Derivation / Population Rule</w:t>
            </w:r>
          </w:p>
        </w:tc>
        <w:tc>
          <w:tcPr>
            <w:tcW w:type="dxa" w:w="7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7"/>
                <w:szCs w:val="17"/>
              </w:rPr>
              <w:t xml:space="preserve">PII Class</w:t>
            </w:r>
          </w:p>
        </w:tc>
        <w:tc>
          <w:tcPr>
            <w:tcW w:type="dxa" w:w="62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7"/>
                <w:szCs w:val="17"/>
              </w:rPr>
              <w:t xml:space="preserve">Retention</w:t>
            </w:r>
          </w:p>
        </w:tc>
      </w:tr>
      <w:tr>
        <w:tc>
          <w:tcPr>
            <w:tcW w:type="dxa" w:w="15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event_timestamp</w:t>
            </w:r>
          </w:p>
        </w:tc>
        <w:tc>
          <w:tcPr>
            <w:tcW w:type="dxa" w:w="82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TIMESTAMP WITH TZ</w:t>
            </w:r>
          </w:p>
        </w:tc>
        <w:tc>
          <w:tcPr>
            <w:tcW w:type="dxa" w:w="5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Required</w:t>
            </w:r>
          </w:p>
        </w:tc>
        <w:tc>
          <w:tcPr>
            <w:tcW w:type="dxa" w:w="10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Captured at submit</w:t>
            </w:r>
          </w:p>
        </w:tc>
        <w:tc>
          <w:tcPr>
            <w:tcW w:type="dxa" w:w="27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System clock at point of API call receipt — UTC, ISO 8601</w:t>
            </w:r>
          </w:p>
        </w:tc>
        <w:tc>
          <w:tcPr>
            <w:tcW w:type="dxa" w:w="7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Non-PII</w:t>
            </w:r>
          </w:p>
        </w:tc>
        <w:tc>
          <w:tcPr>
            <w:tcW w:type="dxa" w:w="62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60 months</w:t>
            </w:r>
          </w:p>
        </w:tc>
      </w:tr>
      <w:tr>
        <w:tc>
          <w:tcPr>
            <w:tcW w:type="dxa" w:w="15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delivery_channel</w:t>
            </w:r>
          </w:p>
        </w:tc>
        <w:tc>
          <w:tcPr>
            <w:tcW w:type="dxa" w:w="82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VARCHAR(20)</w:t>
            </w:r>
          </w:p>
        </w:tc>
        <w:tc>
          <w:tcPr>
            <w:tcW w:type="dxa" w:w="5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Required</w:t>
            </w:r>
          </w:p>
        </w:tc>
        <w:tc>
          <w:tcPr>
            <w:tcW w:type="dxa" w:w="10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Captured at ingest</w:t>
            </w:r>
          </w:p>
        </w:tc>
        <w:tc>
          <w:tcPr>
            <w:tcW w:type="dxa" w:w="27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Enum: API | MCP | CHAT | IDE — set by channel adapter at ingestion</w:t>
            </w:r>
          </w:p>
        </w:tc>
        <w:tc>
          <w:tcPr>
            <w:tcW w:type="dxa" w:w="7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Non-PII</w:t>
            </w:r>
          </w:p>
        </w:tc>
        <w:tc>
          <w:tcPr>
            <w:tcW w:type="dxa" w:w="62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60 months</w:t>
            </w:r>
          </w:p>
        </w:tc>
      </w:tr>
      <w:tr>
        <w:tc>
          <w:tcPr>
            <w:tcW w:type="dxa" w:w="15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team_id</w:t>
            </w:r>
          </w:p>
        </w:tc>
        <w:tc>
          <w:tcPr>
            <w:tcW w:type="dxa" w:w="82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VARCHAR(36)</w:t>
            </w:r>
          </w:p>
        </w:tc>
        <w:tc>
          <w:tcPr>
            <w:tcW w:type="dxa" w:w="5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Required</w:t>
            </w:r>
          </w:p>
        </w:tc>
        <w:tc>
          <w:tcPr>
            <w:tcW w:type="dxa" w:w="10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Captured at session init</w:t>
            </w:r>
          </w:p>
        </w:tc>
        <w:tc>
          <w:tcPr>
            <w:tcW w:type="dxa" w:w="27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Resolved from user_id via user profile service; cached per session</w:t>
            </w:r>
          </w:p>
        </w:tc>
        <w:tc>
          <w:tcPr>
            <w:tcW w:type="dxa" w:w="7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Non-PII</w:t>
            </w:r>
          </w:p>
        </w:tc>
        <w:tc>
          <w:tcPr>
            <w:tcW w:type="dxa" w:w="62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60 months</w:t>
            </w:r>
          </w:p>
        </w:tc>
      </w:tr>
      <w:tr>
        <w:tc>
          <w:tcPr>
            <w:tcW w:type="dxa" w:w="15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score_delta</w:t>
            </w:r>
          </w:p>
        </w:tc>
        <w:tc>
          <w:tcPr>
            <w:tcW w:type="dxa" w:w="82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DECIMAL(5,2)</w:t>
            </w:r>
          </w:p>
        </w:tc>
        <w:tc>
          <w:tcPr>
            <w:tcW w:type="dxa" w:w="5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Nullable</w:t>
            </w:r>
          </w:p>
        </w:tc>
        <w:tc>
          <w:tcPr>
            <w:tcW w:type="dxa" w:w="10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Derived at session close</w:t>
            </w:r>
          </w:p>
        </w:tc>
        <w:tc>
          <w:tcPr>
            <w:tcW w:type="dxa" w:w="27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current_session_avg_score MINUS rolling_4wk_avg_score; null on user's first session</w:t>
            </w:r>
          </w:p>
        </w:tc>
        <w:tc>
          <w:tcPr>
            <w:tcW w:type="dxa" w:w="7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Non-PII</w:t>
            </w:r>
          </w:p>
        </w:tc>
        <w:tc>
          <w:tcPr>
            <w:tcW w:type="dxa" w:w="62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60 months</w:t>
            </w:r>
          </w:p>
        </w:tc>
      </w:tr>
      <w:tr>
        <w:tc>
          <w:tcPr>
            <w:tcW w:type="dxa" w:w="15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suggestion_acceptance_rate</w:t>
            </w:r>
          </w:p>
        </w:tc>
        <w:tc>
          <w:tcPr>
            <w:tcW w:type="dxa" w:w="82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DECIMAL(4,3)</w:t>
            </w:r>
          </w:p>
        </w:tc>
        <w:tc>
          <w:tcPr>
            <w:tcW w:type="dxa" w:w="5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Nullable</w:t>
            </w:r>
          </w:p>
        </w:tc>
        <w:tc>
          <w:tcPr>
            <w:tcW w:type="dxa" w:w="10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Derived at session close</w:t>
            </w:r>
          </w:p>
        </w:tc>
        <w:tc>
          <w:tcPr>
            <w:tcW w:type="dxa" w:w="27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(suggestions_accepted / suggestion_count); null if suggestion_count = 0</w:t>
            </w:r>
          </w:p>
        </w:tc>
        <w:tc>
          <w:tcPr>
            <w:tcW w:type="dxa" w:w="7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Non-PII</w:t>
            </w:r>
          </w:p>
        </w:tc>
        <w:tc>
          <w:tcPr>
            <w:tcW w:type="dxa" w:w="62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60 months</w:t>
            </w:r>
          </w:p>
        </w:tc>
      </w:tr>
      <w:tr>
        <w:tc>
          <w:tcPr>
            <w:tcW w:type="dxa" w:w="15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autofix_utilization_flag</w:t>
            </w:r>
          </w:p>
        </w:tc>
        <w:tc>
          <w:tcPr>
            <w:tcW w:type="dxa" w:w="82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BOOLEAN</w:t>
            </w:r>
          </w:p>
        </w:tc>
        <w:tc>
          <w:tcPr>
            <w:tcW w:type="dxa" w:w="5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Required</w:t>
            </w:r>
          </w:p>
        </w:tc>
        <w:tc>
          <w:tcPr>
            <w:tcW w:type="dxa" w:w="10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Derived at session close</w:t>
            </w:r>
          </w:p>
        </w:tc>
        <w:tc>
          <w:tcPr>
            <w:tcW w:type="dxa" w:w="27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TRUE if corrected_prompt IS NOT NULL; FALSE otherwise</w:t>
            </w:r>
          </w:p>
        </w:tc>
        <w:tc>
          <w:tcPr>
            <w:tcW w:type="dxa" w:w="7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Non-PII</w:t>
            </w:r>
          </w:p>
        </w:tc>
        <w:tc>
          <w:tcPr>
            <w:tcW w:type="dxa" w:w="62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60 months</w:t>
            </w:r>
          </w:p>
        </w:tc>
      </w:tr>
      <w:tr>
        <w:tc>
          <w:tcPr>
            <w:tcW w:type="dxa" w:w="15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prompt_complexity_class</w:t>
            </w:r>
          </w:p>
        </w:tc>
        <w:tc>
          <w:tcPr>
            <w:tcW w:type="dxa" w:w="82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VARCHAR(20)</w:t>
            </w:r>
          </w:p>
        </w:tc>
        <w:tc>
          <w:tcPr>
            <w:tcW w:type="dxa" w:w="5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Required</w:t>
            </w:r>
          </w:p>
        </w:tc>
        <w:tc>
          <w:tcPr>
            <w:tcW w:type="dxa" w:w="10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Derived at enrichment</w:t>
            </w:r>
          </w:p>
        </w:tc>
        <w:tc>
          <w:tcPr>
            <w:tcW w:type="dxa" w:w="27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Enum: SIMPLE | MODERATE | COMPLEX — assigned by classification engine based on token count, structure depth, and context markers</w:t>
            </w:r>
          </w:p>
        </w:tc>
        <w:tc>
          <w:tcPr>
            <w:tcW w:type="dxa" w:w="7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Non-PII</w:t>
            </w:r>
          </w:p>
        </w:tc>
        <w:tc>
          <w:tcPr>
            <w:tcW w:type="dxa" w:w="62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60 months</w:t>
            </w:r>
          </w:p>
        </w:tc>
      </w:tr>
      <w:tr>
        <w:tc>
          <w:tcPr>
            <w:tcW w:type="dxa" w:w="15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intervention_flag</w:t>
            </w:r>
          </w:p>
        </w:tc>
        <w:tc>
          <w:tcPr>
            <w:tcW w:type="dxa" w:w="82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BOOLEAN</w:t>
            </w:r>
          </w:p>
        </w:tc>
        <w:tc>
          <w:tcPr>
            <w:tcW w:type="dxa" w:w="5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Required</w:t>
            </w:r>
          </w:p>
        </w:tc>
        <w:tc>
          <w:tcPr>
            <w:tcW w:type="dxa" w:w="10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Derived at aggregation</w:t>
            </w:r>
          </w:p>
        </w:tc>
        <w:tc>
          <w:tcPr>
            <w:tcW w:type="dxa" w:w="27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TRUE when EWMA learning_velocity &lt; 0 for 3+ consecutive weekly windows; FALSE otherwise</w:t>
            </w:r>
          </w:p>
        </w:tc>
        <w:tc>
          <w:tcPr>
            <w:tcW w:type="dxa" w:w="7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Non-PII</w:t>
            </w:r>
          </w:p>
        </w:tc>
        <w:tc>
          <w:tcPr>
            <w:tcW w:type="dxa" w:w="62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7"/>
                <w:szCs w:val="17"/>
              </w:rPr>
              <w:t xml:space="preserve">60 months</w:t>
            </w:r>
          </w:p>
        </w:tc>
      </w:tr>
    </w:tbl>
    <w:p>
      <w:pPr>
        <w:spacing w:before="100" w:after="0"/>
      </w:pPr>
      <w:r>
        <w:rPr>
          <w:rFonts w:ascii="Arial" w:cs="Arial" w:eastAsia="Arial" w:hAnsi="Arial"/>
          <w:b w:val="false"/>
          <w:bCs w:val="false"/>
          <w:i w:val="false"/>
          <w:iCs w:val="false"/>
          <w:cap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6"/>
              <w:left w:val="single" w:color="C8922A" w:sz="20"/>
              <w:bottom w:val="single" w:color="C8922A" w:sz="6"/>
              <w:right w:val="single" w:color="C8922A" w:sz="6"/>
            </w:tcBorders>
            <w:shd w:fill="FDF3DC" w:val="clear"/>
            <w:tcMar>
              <w:top w:type="dxa" w:w="80"/>
              <w:left w:type="dxa" w:w="120"/>
              <w:bottom w:type="dxa" w:w="80"/>
              <w:right w:type="dxa" w:w="120"/>
            </w:tcMar>
            <w:vAlign w:val="top"/>
          </w:tcPr>
          <w:p>
            <w:pPr>
              <w:spacing w:before="40" w:after="40"/>
            </w:pPr>
            <w:r>
              <w:rPr>
                <w:rFonts w:ascii="Arial" w:cs="Arial" w:eastAsia="Arial" w:hAnsi="Arial"/>
                <w:b/>
                <w:bCs/>
                <w:color w:val="C8922A"/>
                <w:sz w:val="20"/>
                <w:szCs w:val="20"/>
              </w:rPr>
              <w:t xml:space="preserve">Business rule:  </w:t>
            </w:r>
            <w:r>
              <w:rPr>
                <w:rFonts w:ascii="Arial" w:cs="Arial" w:eastAsia="Arial" w:hAnsi="Arial"/>
                <w:color w:val="4A5568"/>
                <w:sz w:val="20"/>
                <w:szCs w:val="20"/>
              </w:rPr>
              <w:t xml:space="preserve">intervention_flag is a coaching signal routed to manager and CoE dashboards only — it must never be surfaced in user-facing endpoints. Masking must be enforced at the serving layer.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top"/>
          </w:tcPr>
          <w:p>
            <w:pPr>
              <w:spacing w:before="60" w:after="60"/>
            </w:pPr>
            <w:r>
              <w:rPr>
                <w:rFonts w:ascii="Arial" w:cs="Arial" w:eastAsia="Arial" w:hAnsi="Arial"/>
                <w:b/>
                <w:bCs/>
                <w:caps/>
                <w:color w:val="C8922A"/>
                <w:sz w:val="18"/>
                <w:szCs w:val="18"/>
              </w:rPr>
              <w:t xml:space="preserve">SECTION 3  </w:t>
            </w:r>
            <w:r>
              <w:rPr>
                <w:rFonts w:ascii="Arial" w:cs="Arial" w:eastAsia="Arial" w:hAnsi="Arial"/>
                <w:b/>
                <w:bCs/>
                <w:caps/>
                <w:color w:val="FFFFFF"/>
                <w:sz w:val="18"/>
                <w:szCs w:val="18"/>
              </w:rPr>
              <w:t xml:space="preserve">PHASE 1 PIPELINE ARCHITECTURE</w:t>
            </w:r>
          </w:p>
        </w:tc>
      </w:tr>
    </w:tbl>
    <w:p>
      <w:pPr>
        <w:spacing w:before="80" w:after="0"/>
      </w:pPr>
      <w:r>
        <w:rPr>
          <w:rFonts w:ascii="Arial" w:cs="Arial" w:eastAsia="Arial" w:hAnsi="Arial"/>
          <w:b w:val="false"/>
          <w:bCs w:val="false"/>
          <w:i w:val="false"/>
          <w:iCs w:val="false"/>
          <w:caps w:val="false"/>
          <w:color w:val="1A202C"/>
          <w:sz w:val="22"/>
          <w:szCs w:val="22"/>
        </w:rPr>
        <w:t xml:space="preserve"/>
      </w:r>
    </w:p>
    <w:p>
      <w:pPr>
        <w:pStyle w:val="Heading1"/>
        <w:pBdr>
          <w:bottom w:val="single" w:color="2E5FA3" w:sz="8" w:space="4"/>
        </w:pBdr>
        <w:spacing w:before="360" w:after="160"/>
      </w:pPr>
      <w:r>
        <w:rPr>
          <w:rFonts w:ascii="Arial" w:cs="Arial" w:eastAsia="Arial" w:hAnsi="Arial"/>
          <w:b/>
          <w:bCs/>
          <w:caps/>
          <w:color w:val="1B3A6B"/>
          <w:sz w:val="36"/>
          <w:szCs w:val="36"/>
        </w:rPr>
        <w:t xml:space="preserve">Phase 1 Pipeline Architecture</w:t>
      </w:r>
    </w:p>
    <w:p>
      <w:pPr>
        <w:spacing w:before="80" w:after="100"/>
        <w:jc w:val="left"/>
      </w:pPr>
      <w:r>
        <w:rPr>
          <w:rFonts w:ascii="Arial" w:cs="Arial" w:eastAsia="Arial" w:hAnsi="Arial"/>
          <w:b w:val="false"/>
          <w:bCs w:val="false"/>
          <w:i w:val="false"/>
          <w:iCs w:val="false"/>
          <w:caps w:val="false"/>
          <w:color w:val="1A202C"/>
          <w:sz w:val="22"/>
          <w:szCs w:val="22"/>
        </w:rPr>
        <w:t xml:space="preserve">Phase 1 is the complete foundation of the Prompt Validator data infrastructure. All subsequent phases extend this engine through channel adapters — they do not introduce new processing logic. Phase 1 must therefore be built for robustness, completeness, and extensibility from day one.</w:t>
      </w:r>
    </w:p>
    <w:p>
      <w:pPr>
        <w:pStyle w:val="Heading2"/>
        <w:spacing w:before="280" w:after="120"/>
      </w:pPr>
      <w:r>
        <w:rPr>
          <w:rFonts w:ascii="Arial" w:cs="Arial" w:eastAsia="Arial" w:hAnsi="Arial"/>
          <w:b/>
          <w:bCs/>
          <w:color w:val="2E5FA3"/>
          <w:sz w:val="28"/>
          <w:szCs w:val="28"/>
        </w:rPr>
        <w:t xml:space="preserve">Pipeline Overview</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Four sequential stages process every transaction event: Ingestion, Enrichment, Aggregation, and Serving</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Raw events are preserved at each stage — enriched_events and aggregated outputs are additive writes, not destructive updates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The Universal API and four persona-specific APIs (P1: Developer+QA, P2: TPM, P3: BA+PO, P4: Support) all feed into the same Stage 1 ingestion endpoint</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Persona-specific scoring weight tables are loaded per persona_id at Stage 2 — the scoring engine is universal; the weights are persona-driven</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All aggregation windows operate on UTC timestamps; weekly windows close at Sunday 23:59:59 UTC</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Stage 4 serving endpoints are read-only; no pipeline writes are triggered from the serving layer</w:t>
      </w:r>
    </w:p>
    <w:p>
      <w:pPr>
        <w:spacing w:before="120" w:after="0"/>
      </w:pPr>
      <w:r>
        <w:rPr>
          <w:rFonts w:ascii="Arial" w:cs="Arial" w:eastAsia="Arial" w:hAnsi="Arial"/>
          <w:b w:val="false"/>
          <w:bCs w:val="false"/>
          <w:i w:val="false"/>
          <w:iCs w:val="false"/>
          <w:cap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top"/>
          </w:tcPr>
          <w:p>
            <w:pPr>
              <w:spacing w:before="60" w:after="60"/>
            </w:pPr>
            <w:r>
              <w:rPr>
                <w:rFonts w:ascii="Arial" w:cs="Arial" w:eastAsia="Arial" w:hAnsi="Arial"/>
                <w:b/>
                <w:bCs/>
                <w:caps/>
                <w:color w:val="FFFFFF"/>
                <w:sz w:val="18"/>
                <w:szCs w:val="18"/>
              </w:rPr>
              <w:t xml:space="preserve">STAGE 1  </w:t>
            </w:r>
            <w:r>
              <w:rPr>
                <w:rFonts w:ascii="Arial" w:cs="Arial" w:eastAsia="Arial" w:hAnsi="Arial"/>
                <w:b/>
                <w:bCs/>
                <w:caps/>
                <w:color w:val="D6E4F0"/>
                <w:sz w:val="18"/>
                <w:szCs w:val="18"/>
              </w:rPr>
              <w:t xml:space="preserve">INGESTION</w:t>
            </w:r>
          </w:p>
        </w:tc>
      </w:tr>
    </w:tbl>
    <w:p>
      <w:pPr>
        <w:spacing w:before="80" w:after="0"/>
      </w:pPr>
      <w:r>
        <w:rPr>
          <w:rFonts w:ascii="Arial" w:cs="Arial" w:eastAsia="Arial" w:hAnsi="Arial"/>
          <w:b w:val="false"/>
          <w:bCs w:val="false"/>
          <w:i w:val="false"/>
          <w:iCs w:val="false"/>
          <w:caps w:val="false"/>
          <w:color w:val="1A202C"/>
          <w:sz w:val="22"/>
          <w:szCs w:val="22"/>
        </w:rPr>
        <w:t xml:space="preserve"/>
      </w:r>
    </w:p>
    <w:p>
      <w:pPr>
        <w:pStyle w:val="Heading3"/>
        <w:spacing w:before="200" w:after="80"/>
      </w:pPr>
      <w:r>
        <w:rPr>
          <w:rFonts w:ascii="Arial" w:cs="Arial" w:eastAsia="Arial" w:hAnsi="Arial"/>
          <w:b/>
          <w:bCs/>
          <w:color w:val="1F7A8C"/>
          <w:sz w:val="24"/>
          <w:szCs w:val="24"/>
        </w:rPr>
        <w:t xml:space="preserve">Stage 1 — Ingestion</w:t>
      </w:r>
    </w:p>
    <w:p>
      <w:pPr>
        <w:spacing w:before="80" w:after="100"/>
        <w:jc w:val="left"/>
      </w:pPr>
      <w:r>
        <w:rPr>
          <w:rFonts w:ascii="Arial" w:cs="Arial" w:eastAsia="Arial" w:hAnsi="Arial"/>
          <w:b w:val="false"/>
          <w:bCs w:val="false"/>
          <w:i w:val="false"/>
          <w:iCs w:val="false"/>
          <w:caps w:val="false"/>
          <w:color w:val="1A202C"/>
          <w:sz w:val="22"/>
          <w:szCs w:val="22"/>
        </w:rPr>
        <w:t xml:space="preserve">Stage 1 receives raw prompt events from all API sources, validates schema conformance, and writes compliant events to the raw_events store. It is the entry contract for the entire pipeline.</w:t>
      </w:r>
    </w:p>
    <w:p>
      <w:pPr>
        <w:pStyle w:val="Heading4"/>
        <w:spacing w:before="160" w:after="60"/>
      </w:pPr>
      <w:r>
        <w:rPr>
          <w:rFonts w:ascii="Arial" w:cs="Arial" w:eastAsia="Arial" w:hAnsi="Arial"/>
          <w:b/>
          <w:bCs/>
          <w:color w:val="4A5568"/>
          <w:sz w:val="22"/>
          <w:szCs w:val="22"/>
        </w:rPr>
        <w:t xml:space="preserve">Key Engineering Rules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Events arrive as UTF-8 encoded JSON payloads from the Universal API and four persona-specific endpoints — all share the same ingestion schema</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Schema validation occurs at the API gateway before the event enters the pipeline; non-conforming payloads return a structured 400 error and are not ingested</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Events that pass schema validation but fail business-rule checks (e.g., unknown persona_id, empty prompt body) are written to the dead_letter_events table with an error_reason field populated</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Dead-letter events are never silently dropped — all failures must be queryable and alertable</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Duplicate detection uses a composite key of user_id + HASH(original_prompt) + event_timestamp (within a 30-second window) to prevent re-submission floods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Ingestion acknowledgement must be returned to the caller within the p99 SLA — the pipeline write is asynchronous after acknowledgement</w:t>
      </w:r>
    </w:p>
    <w:p>
      <w:pPr>
        <w:spacing w:before="100" w:after="0"/>
      </w:pPr>
      <w:r>
        <w:rPr>
          <w:rFonts w:ascii="Arial" w:cs="Arial" w:eastAsia="Arial" w:hAnsi="Arial"/>
          <w:b w:val="false"/>
          <w:bCs w:val="false"/>
          <w:i w:val="false"/>
          <w:iCs w:val="false"/>
          <w:cap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Component</w:t>
            </w:r>
          </w:p>
        </w:tc>
        <w:tc>
          <w:tcPr>
            <w:tcW w:type="dxa" w:w="736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Specification</w:t>
            </w:r>
          </w:p>
        </w:tc>
      </w:tr>
      <w:tr>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Input sources</w:t>
            </w:r>
          </w:p>
        </w:tc>
        <w:tc>
          <w:tcPr>
            <w:tcW w:type="dxa" w:w="73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Universal Enterprise API · Persona API P1 (Developer+QA) · Persona API P2 (TPM) · Persona API P3 (BA+PO) · Persona API P4 (Support Staff)</w:t>
            </w:r>
          </w:p>
        </w:tc>
      </w:tr>
      <w:tr>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Payload format</w:t>
            </w:r>
          </w:p>
        </w:tc>
        <w:tc>
          <w:tcPr>
            <w:tcW w:type="dxa" w:w="73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JSON, UTF-8 encoded, max 64KB per event</w:t>
            </w:r>
          </w:p>
        </w:tc>
      </w:tr>
      <w:tr>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Required fields at ingest</w:t>
            </w:r>
          </w:p>
        </w:tc>
        <w:tc>
          <w:tcPr>
            <w:tcW w:type="dxa" w:w="73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user_id, persona_id, original_prompt, delivery_channel, event_timestamp</w:t>
            </w:r>
          </w:p>
        </w:tc>
      </w:tr>
      <w:tr>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Schema validation</w:t>
            </w:r>
          </w:p>
        </w:tc>
        <w:tc>
          <w:tcPr>
            <w:tcW w:type="dxa" w:w="73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Field presence check · Data type check · persona_id must match valid enum · original_prompt length &gt; 0 and &lt; 32,000 chars · delivery_channel must match enum (API | MCP | CHAT | IDE)</w:t>
            </w:r>
          </w:p>
        </w:tc>
      </w:tr>
      <w:tr>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Business rule validation</w:t>
            </w:r>
          </w:p>
        </w:tc>
        <w:tc>
          <w:tcPr>
            <w:tcW w:type="dxa" w:w="73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user_id must resolve to an active user in the auth service · persona_id must match the persona on record for user_id · Mismatches write to dead_letter_events with error_reason = PERSONA_MISMATCH</w:t>
            </w:r>
          </w:p>
        </w:tc>
      </w:tr>
      <w:tr>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Duplicate handling</w:t>
            </w:r>
          </w:p>
        </w:tc>
        <w:tc>
          <w:tcPr>
            <w:tcW w:type="dxa" w:w="73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Composite key: user_id + HASH(original_prompt) + floor(event_timestamp / 30s) · Duplicates within window are acknowledged (200) but not written to raw_events</w:t>
            </w:r>
          </w:p>
        </w:tc>
      </w:tr>
      <w:tr>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Error handling</w:t>
            </w:r>
          </w:p>
        </w:tc>
        <w:tc>
          <w:tcPr>
            <w:tcW w:type="dxa" w:w="73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Schema failure → 400 error returned; event not ingested · Business rule failure → event written to dead_letter_events · Downstream timeout → retry x3 with 100ms/500ms/2s exponential backoff</w:t>
            </w:r>
          </w:p>
        </w:tc>
      </w:tr>
      <w:tr>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Ingestion latency SLA</w:t>
            </w:r>
          </w:p>
        </w:tc>
        <w:tc>
          <w:tcPr>
            <w:tcW w:type="dxa" w:w="73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&lt; 200ms p99 from API gateway receipt to acknowledgement response</w:t>
            </w:r>
          </w:p>
        </w:tc>
      </w:tr>
      <w:tr>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Throughput capacity</w:t>
            </w:r>
          </w:p>
        </w:tc>
        <w:tc>
          <w:tcPr>
            <w:tcW w:type="dxa" w:w="73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Designed for 50,000 events/day at full org adoption (3,000 users × estimated 16 prompts/day average); burst tolerance to 5,000 events/hour</w:t>
            </w:r>
          </w:p>
        </w:tc>
      </w:tr>
      <w:tr>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Output</w:t>
            </w:r>
          </w:p>
        </w:tc>
        <w:tc>
          <w:tcPr>
            <w:tcW w:type="dxa" w:w="73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raw_events table (append-only) + dead_letter_events table (append-only)</w:t>
            </w:r>
          </w:p>
        </w:tc>
      </w:tr>
    </w:tbl>
    <w:p>
      <w:pPr>
        <w:spacing w:before="140" w:after="0"/>
      </w:pPr>
      <w:r>
        <w:rPr>
          <w:rFonts w:ascii="Arial" w:cs="Arial" w:eastAsia="Arial" w:hAnsi="Arial"/>
          <w:b w:val="false"/>
          <w:bCs w:val="false"/>
          <w:i w:val="false"/>
          <w:iCs w:val="false"/>
          <w:cap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top"/>
          </w:tcPr>
          <w:p>
            <w:pPr>
              <w:spacing w:before="60" w:after="60"/>
            </w:pPr>
            <w:r>
              <w:rPr>
                <w:rFonts w:ascii="Arial" w:cs="Arial" w:eastAsia="Arial" w:hAnsi="Arial"/>
                <w:b/>
                <w:bCs/>
                <w:caps/>
                <w:color w:val="FFFFFF"/>
                <w:sz w:val="18"/>
                <w:szCs w:val="18"/>
              </w:rPr>
              <w:t xml:space="preserve">STAGE 2  </w:t>
            </w:r>
            <w:r>
              <w:rPr>
                <w:rFonts w:ascii="Arial" w:cs="Arial" w:eastAsia="Arial" w:hAnsi="Arial"/>
                <w:b/>
                <w:bCs/>
                <w:caps/>
                <w:color w:val="D6E4F0"/>
                <w:sz w:val="18"/>
                <w:szCs w:val="18"/>
              </w:rPr>
              <w:t xml:space="preserve">ENRICHMENT</w:t>
            </w:r>
          </w:p>
        </w:tc>
      </w:tr>
    </w:tbl>
    <w:p>
      <w:pPr>
        <w:spacing w:before="80" w:after="0"/>
      </w:pPr>
      <w:r>
        <w:rPr>
          <w:rFonts w:ascii="Arial" w:cs="Arial" w:eastAsia="Arial" w:hAnsi="Arial"/>
          <w:b w:val="false"/>
          <w:bCs w:val="false"/>
          <w:i w:val="false"/>
          <w:iCs w:val="false"/>
          <w:caps w:val="false"/>
          <w:color w:val="1A202C"/>
          <w:sz w:val="22"/>
          <w:szCs w:val="22"/>
        </w:rPr>
        <w:t xml:space="preserve"/>
      </w:r>
    </w:p>
    <w:p>
      <w:pPr>
        <w:pStyle w:val="Heading3"/>
        <w:spacing w:before="200" w:after="80"/>
      </w:pPr>
      <w:r>
        <w:rPr>
          <w:rFonts w:ascii="Arial" w:cs="Arial" w:eastAsia="Arial" w:hAnsi="Arial"/>
          <w:b/>
          <w:bCs/>
          <w:color w:val="1F7A8C"/>
          <w:sz w:val="24"/>
          <w:szCs w:val="24"/>
        </w:rPr>
        <w:t xml:space="preserve">Stage 2 — Enrichment</w:t>
      </w:r>
    </w:p>
    <w:p>
      <w:pPr>
        <w:spacing w:before="80" w:after="100"/>
        <w:jc w:val="left"/>
      </w:pPr>
      <w:r>
        <w:rPr>
          <w:rFonts w:ascii="Arial" w:cs="Arial" w:eastAsia="Arial" w:hAnsi="Arial"/>
          <w:b w:val="false"/>
          <w:bCs w:val="false"/>
          <w:i w:val="false"/>
          <w:iCs w:val="false"/>
          <w:caps w:val="false"/>
          <w:color w:val="1A202C"/>
          <w:sz w:val="22"/>
          <w:szCs w:val="22"/>
        </w:rPr>
        <w:t xml:space="preserve">Stage 2 reads from raw_events and executes three sequential enrichment processes: classification, scoring, and autofix extraction. The output is a fully populated enriched_events record that downstream aggregation can operate on without re-reading raw_events.</w:t>
      </w:r>
    </w:p>
    <w:p>
      <w:pPr>
        <w:pStyle w:val="Heading4"/>
        <w:spacing w:before="160" w:after="60"/>
      </w:pPr>
      <w:r>
        <w:rPr>
          <w:rFonts w:ascii="Arial" w:cs="Arial" w:eastAsia="Arial" w:hAnsi="Arial"/>
          <w:b/>
          <w:bCs/>
          <w:color w:val="4A5568"/>
          <w:sz w:val="22"/>
          <w:szCs w:val="22"/>
        </w:rPr>
        <w:t xml:space="preserve">Key Engineering Rules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Enrichment processes run sequentially per event: classification must complete before scoring (scoring requires prompt_type_classification as an input weight modifier)</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The classification engine assigns prompt_type_classification and prompt_complexity_class — these are owned by the pipeline, not the client</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The scoring engine loads persona-specific weight tables keyed on persona_id; universal dimension weights are always applied first, then persona-specific overrides are layered on top</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validation_score is expressed on a 0.00 to 10.00 scale; two decimal places; never null in enriched_events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Autofix runs only when a session is interactive (autofix_requested = TRUE in the raw event); for passive API calls it is skipped and corrected_prompt remains null</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autofix_improvement_points is stored as a structured JSON array — each element contains: dimension (string), original_text (string), improved_text (string), rationale (string)</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If any enrichment sub-process fails, the event is flagged with enrichment_error = TRUE and written to enriched_events with available fields populated — it must not be silently dropped</w:t>
      </w:r>
    </w:p>
    <w:p>
      <w:pPr>
        <w:spacing w:before="100" w:after="0"/>
      </w:pPr>
      <w:r>
        <w:rPr>
          <w:rFonts w:ascii="Arial" w:cs="Arial" w:eastAsia="Arial" w:hAnsi="Arial"/>
          <w:b w:val="false"/>
          <w:bCs w:val="false"/>
          <w:i w:val="false"/>
          <w:iCs w:val="false"/>
          <w:cap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2200"/>
        <w:gridCol w:w="1160"/>
      </w:tblGrid>
      <w:tr>
        <w:trPr>
          <w:tblHeader/>
        </w:trPr>
        <w:tc>
          <w:tcPr>
            <w:tcW w:type="dxa" w:w="180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Sub-Process</w:t>
            </w:r>
          </w:p>
        </w:tc>
        <w:tc>
          <w:tcPr>
            <w:tcW w:type="dxa" w:w="220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Input Fields</w:t>
            </w:r>
          </w:p>
        </w:tc>
        <w:tc>
          <w:tcPr>
            <w:tcW w:type="dxa" w:w="200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Output Fields</w:t>
            </w:r>
          </w:p>
        </w:tc>
        <w:tc>
          <w:tcPr>
            <w:tcW w:type="dxa" w:w="220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Logic Summary</w:t>
            </w:r>
          </w:p>
        </w:tc>
        <w:tc>
          <w:tcPr>
            <w:tcW w:type="dxa" w:w="116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Latency SLA</w:t>
            </w:r>
          </w:p>
        </w:tc>
      </w:tr>
      <w:tr>
        <w:tc>
          <w:tcPr>
            <w:tcW w:type="dxa" w:w="1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Classification</w:t>
            </w:r>
          </w:p>
        </w:tc>
        <w:tc>
          <w:tcPr>
            <w:tcW w:type="dxa" w:w="22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original_prompt, persona_id</w:t>
            </w:r>
          </w:p>
        </w:tc>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prompt_type_classification, prompt_complexity_class</w:t>
            </w:r>
          </w:p>
        </w:tc>
        <w:tc>
          <w:tcPr>
            <w:tcW w:type="dxa" w:w="22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Rule-based classifier seeded from persona taxonomy (see Section 2 taxonomy table); ML model fallback for unrecognized patterns; complexity scored on token count, nesting depth, and context marker presence</w:t>
            </w:r>
          </w:p>
        </w:tc>
        <w:tc>
          <w:tcPr>
            <w:tcW w:type="dxa" w:w="11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&lt; 400ms p99</w:t>
            </w:r>
          </w:p>
        </w:tc>
      </w:tr>
      <w:tr>
        <w:tc>
          <w:tcPr>
            <w:tcW w:type="dxa" w:w="18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Scoring</w:t>
            </w:r>
          </w:p>
        </w:tc>
        <w:tc>
          <w:tcPr>
            <w:tcW w:type="dxa" w:w="22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original_prompt, persona_id, prompt_type_classification</w:t>
            </w:r>
          </w:p>
        </w:tc>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validation_score, suggestion_count, suggestions (JSON array)</w:t>
            </w:r>
          </w:p>
        </w:tc>
        <w:tc>
          <w:tcPr>
            <w:tcW w:type="dxa" w:w="22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Weighted dimension model: universal weights applied to all; persona weight overrides loaded from persona_weights table keyed by persona_id; score = weighted sum normalized to 0–10</w:t>
            </w:r>
          </w:p>
        </w:tc>
        <w:tc>
          <w:tcPr>
            <w:tcW w:type="dxa" w:w="11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&lt; 500ms p99</w:t>
            </w:r>
          </w:p>
        </w:tc>
      </w:tr>
      <w:tr>
        <w:tc>
          <w:tcPr>
            <w:tcW w:type="dxa" w:w="1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Autofix extraction</w:t>
            </w:r>
          </w:p>
        </w:tc>
        <w:tc>
          <w:tcPr>
            <w:tcW w:type="dxa" w:w="22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original_prompt, persona_id, suggestions</w:t>
            </w:r>
          </w:p>
        </w:tc>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corrected_prompt, autofix_improvement_points</w:t>
            </w:r>
          </w:p>
        </w:tc>
        <w:tc>
          <w:tcPr>
            <w:tcW w:type="dxa" w:w="22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Correction generation using persona-specific improvement rules; structured diff extraction produces JSON array of improvement objects; only runs when autofix_requested = TRUE</w:t>
            </w:r>
          </w:p>
        </w:tc>
        <w:tc>
          <w:tcPr>
            <w:tcW w:type="dxa" w:w="11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&lt; 1,200ms p99</w:t>
            </w:r>
          </w:p>
        </w:tc>
      </w:tr>
    </w:tbl>
    <w:p>
      <w:pPr>
        <w:spacing w:before="140" w:after="0"/>
      </w:pPr>
      <w:r>
        <w:rPr>
          <w:rFonts w:ascii="Arial" w:cs="Arial" w:eastAsia="Arial" w:hAnsi="Arial"/>
          <w:b w:val="false"/>
          <w:bCs w:val="false"/>
          <w:i w:val="false"/>
          <w:iCs w:val="false"/>
          <w:cap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top"/>
          </w:tcPr>
          <w:p>
            <w:pPr>
              <w:spacing w:before="60" w:after="60"/>
            </w:pPr>
            <w:r>
              <w:rPr>
                <w:rFonts w:ascii="Arial" w:cs="Arial" w:eastAsia="Arial" w:hAnsi="Arial"/>
                <w:b/>
                <w:bCs/>
                <w:caps/>
                <w:color w:val="FFFFFF"/>
                <w:sz w:val="18"/>
                <w:szCs w:val="18"/>
              </w:rPr>
              <w:t xml:space="preserve">STAGE 3  </w:t>
            </w:r>
            <w:r>
              <w:rPr>
                <w:rFonts w:ascii="Arial" w:cs="Arial" w:eastAsia="Arial" w:hAnsi="Arial"/>
                <w:b/>
                <w:bCs/>
                <w:caps/>
                <w:color w:val="D6E4F0"/>
                <w:sz w:val="18"/>
                <w:szCs w:val="18"/>
              </w:rPr>
              <w:t xml:space="preserve">AGGREGATION</w:t>
            </w:r>
          </w:p>
        </w:tc>
      </w:tr>
    </w:tbl>
    <w:p>
      <w:pPr>
        <w:spacing w:before="80" w:after="0"/>
      </w:pPr>
      <w:r>
        <w:rPr>
          <w:rFonts w:ascii="Arial" w:cs="Arial" w:eastAsia="Arial" w:hAnsi="Arial"/>
          <w:b w:val="false"/>
          <w:bCs w:val="false"/>
          <w:i w:val="false"/>
          <w:iCs w:val="false"/>
          <w:caps w:val="false"/>
          <w:color w:val="1A202C"/>
          <w:sz w:val="22"/>
          <w:szCs w:val="22"/>
        </w:rPr>
        <w:t xml:space="preserve"/>
      </w:r>
    </w:p>
    <w:p>
      <w:pPr>
        <w:pStyle w:val="Heading3"/>
        <w:spacing w:before="200" w:after="80"/>
      </w:pPr>
      <w:r>
        <w:rPr>
          <w:rFonts w:ascii="Arial" w:cs="Arial" w:eastAsia="Arial" w:hAnsi="Arial"/>
          <w:b/>
          <w:bCs/>
          <w:color w:val="1F7A8C"/>
          <w:sz w:val="24"/>
          <w:szCs w:val="24"/>
        </w:rPr>
        <w:t xml:space="preserve">Stage 3 — Aggregation</w:t>
      </w:r>
    </w:p>
    <w:p>
      <w:pPr>
        <w:spacing w:before="80" w:after="100"/>
        <w:jc w:val="left"/>
      </w:pPr>
      <w:r>
        <w:rPr>
          <w:rFonts w:ascii="Arial" w:cs="Arial" w:eastAsia="Arial" w:hAnsi="Arial"/>
          <w:b w:val="false"/>
          <w:bCs w:val="false"/>
          <w:i w:val="false"/>
          <w:iCs w:val="false"/>
          <w:caps w:val="false"/>
          <w:color w:val="1A202C"/>
          <w:sz w:val="22"/>
          <w:szCs w:val="22"/>
        </w:rPr>
        <w:t xml:space="preserve">Stage 3 is the intelligence generation layer. It runs on two triggers: session-close events (near-real-time) and a scheduled weekly batch (Sunday 23:59:59 UTC). It produces the derived metrics that power all user and leadership intelligence outputs.</w:t>
      </w:r>
    </w:p>
    <w:p>
      <w:pPr>
        <w:pStyle w:val="Heading4"/>
        <w:spacing w:before="160" w:after="60"/>
      </w:pPr>
      <w:r>
        <w:rPr>
          <w:rFonts w:ascii="Arial" w:cs="Arial" w:eastAsia="Arial" w:hAnsi="Arial"/>
          <w:b/>
          <w:bCs/>
          <w:color w:val="4A5568"/>
          <w:sz w:val="22"/>
          <w:szCs w:val="22"/>
        </w:rPr>
        <w:t xml:space="preserve">Key Engineering Rules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Session-close aggregation runs within 60 seconds of the session_close event being received — it must complete before the weekly batch reads individual records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Learning velocity (EWMA) is calculated over a rolling 4-week window; a minimum of 3 data points is required before a velocity value is considered statistically meaningful</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Score delta (score_delta) is calculated as: current_session_avg_score MINUS rolling_4wk_avg_score — a positive value indicates improvement; negative indicates regression</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Intervention flags are set TRUE when EWMA learning_velocity is negative for 3 or more consecutive weekly windows — the flag resets to FALSE as soon as a positive velocity week is recorded</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Prompt library candidates are flagged when: validation_score &gt;= 8.5 AND suggestion_count &lt;= 2 AND autofix_improvement_points array length &gt;= 2 — all three conditions must be met</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Team and org rollups use mean validation_score and mean learning_velocity — outlier capping at the 5th and 95th percentile is applied before rollup to prevent single-user distortion</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Leaderboard rankings are based on score_delta (improvement), not absolute validation_score — ties are broken by suggestion_count reduction (lower is better)</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Weekly intelligence payloads are written to weekly_intelligence_records table, keyed by user_id + week_start_date — upsert semantics apply</w:t>
      </w:r>
    </w:p>
    <w:p>
      <w:pPr>
        <w:spacing w:before="100" w:after="0"/>
      </w:pPr>
      <w:r>
        <w:rPr>
          <w:rFonts w:ascii="Arial" w:cs="Arial" w:eastAsia="Arial" w:hAnsi="Arial"/>
          <w:b w:val="false"/>
          <w:bCs w:val="false"/>
          <w:i w:val="false"/>
          <w:iCs w:val="false"/>
          <w:caps w:val="false"/>
          <w:color w:val="1A202C"/>
          <w:sz w:val="22"/>
          <w:szCs w:val="22"/>
        </w:rPr>
        <w:t xml:space="preserve"/>
      </w:r>
    </w:p>
    <w:p>
      <w:pPr>
        <w:pStyle w:val="Heading4"/>
        <w:spacing w:before="160" w:after="60"/>
      </w:pPr>
      <w:r>
        <w:rPr>
          <w:rFonts w:ascii="Arial" w:cs="Arial" w:eastAsia="Arial" w:hAnsi="Arial"/>
          <w:b/>
          <w:bCs/>
          <w:color w:val="4A5568"/>
          <w:sz w:val="22"/>
          <w:szCs w:val="22"/>
        </w:rPr>
        <w:t xml:space="preserve">Derived Metric Calculation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800"/>
        <w:gridCol w:w="1960"/>
      </w:tblGrid>
      <w:tr>
        <w:trPr>
          <w:tblHeader/>
        </w:trPr>
        <w:tc>
          <w:tcPr>
            <w:tcW w:type="dxa" w:w="180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Metric</w:t>
            </w:r>
          </w:p>
        </w:tc>
        <w:tc>
          <w:tcPr>
            <w:tcW w:type="dxa" w:w="380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Calculation</w:t>
            </w:r>
          </w:p>
        </w:tc>
        <w:tc>
          <w:tcPr>
            <w:tcW w:type="dxa" w:w="180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Trigger</w:t>
            </w:r>
          </w:p>
        </w:tc>
        <w:tc>
          <w:tcPr>
            <w:tcW w:type="dxa" w:w="196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Business KPI Served</w:t>
            </w:r>
          </w:p>
        </w:tc>
      </w:tr>
      <w:tr>
        <w:tc>
          <w:tcPr>
            <w:tcW w:type="dxa" w:w="1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score_delta</w:t>
            </w:r>
          </w:p>
        </w:tc>
        <w:tc>
          <w:tcPr>
            <w:tcW w:type="dxa" w:w="3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current_session_avg_score - rolling_4wk_avg_score
Where rolling_4wk_avg = AVG(validation_score) over last 28 days for user_id</w:t>
            </w:r>
          </w:p>
        </w:tc>
        <w:tc>
          <w:tcPr>
            <w:tcW w:type="dxa" w:w="1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Session close</w:t>
            </w:r>
          </w:p>
        </w:tc>
        <w:tc>
          <w:tcPr>
            <w:tcW w:type="dxa" w:w="19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AI Literacy KPI</w:t>
            </w:r>
          </w:p>
        </w:tc>
      </w:tr>
      <w:tr>
        <w:tc>
          <w:tcPr>
            <w:tcW w:type="dxa" w:w="18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learning_velocity</w:t>
            </w:r>
          </w:p>
        </w:tc>
        <w:tc>
          <w:tcPr>
            <w:tcW w:type="dxa" w:w="38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EWMA(validation_score, span=4 weeks, min_periods=3)
Returns NULL if fewer than 3 data points exist in window</w:t>
            </w:r>
          </w:p>
        </w:tc>
        <w:tc>
          <w:tcPr>
            <w:tcW w:type="dxa" w:w="18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Weekly batch (Sunday)</w:t>
            </w:r>
          </w:p>
        </w:tc>
        <w:tc>
          <w:tcPr>
            <w:tcW w:type="dxa" w:w="19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AI Literacy KPI</w:t>
            </w:r>
          </w:p>
        </w:tc>
      </w:tr>
      <w:tr>
        <w:tc>
          <w:tcPr>
            <w:tcW w:type="dxa" w:w="1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suggestion_acceptance_rate</w:t>
            </w:r>
          </w:p>
        </w:tc>
        <w:tc>
          <w:tcPr>
            <w:tcW w:type="dxa" w:w="3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COUNT(suggestions_accepted) / suggestion_count
NULL when suggestion_count = 0</w:t>
            </w:r>
          </w:p>
        </w:tc>
        <w:tc>
          <w:tcPr>
            <w:tcW w:type="dxa" w:w="1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Session close</w:t>
            </w:r>
          </w:p>
        </w:tc>
        <w:tc>
          <w:tcPr>
            <w:tcW w:type="dxa" w:w="19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AI Literacy KPI</w:t>
            </w:r>
          </w:p>
        </w:tc>
      </w:tr>
      <w:tr>
        <w:tc>
          <w:tcPr>
            <w:tcW w:type="dxa" w:w="18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intervention_flag</w:t>
            </w:r>
          </w:p>
        </w:tc>
        <w:tc>
          <w:tcPr>
            <w:tcW w:type="dxa" w:w="38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SET TRUE: consecutive_negative_velocity_weeks &gt;= 3
SET FALSE: any week where learning_velocity &gt; 0</w:t>
            </w:r>
          </w:p>
        </w:tc>
        <w:tc>
          <w:tcPr>
            <w:tcW w:type="dxa" w:w="18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Weekly batch (Sunday)</w:t>
            </w:r>
          </w:p>
        </w:tc>
        <w:tc>
          <w:tcPr>
            <w:tcW w:type="dxa" w:w="19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AI Literacy KPI; CoE feed</w:t>
            </w:r>
          </w:p>
        </w:tc>
      </w:tr>
      <w:tr>
        <w:tc>
          <w:tcPr>
            <w:tcW w:type="dxa" w:w="1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prompt_library_candidate_flag</w:t>
            </w:r>
          </w:p>
        </w:tc>
        <w:tc>
          <w:tcPr>
            <w:tcW w:type="dxa" w:w="3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validation_score &gt;= 8.5
AND suggestion_count &lt;= 2
AND JSON_ARRAY_LENGTH(autofix_improvement_points) &gt;= 2</w:t>
            </w:r>
          </w:p>
        </w:tc>
        <w:tc>
          <w:tcPr>
            <w:tcW w:type="dxa" w:w="1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Session close (post-autofix)</w:t>
            </w:r>
          </w:p>
        </w:tc>
        <w:tc>
          <w:tcPr>
            <w:tcW w:type="dxa" w:w="19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AI Optimization KPI; Prompt Library</w:t>
            </w:r>
          </w:p>
        </w:tc>
      </w:tr>
      <w:tr>
        <w:tc>
          <w:tcPr>
            <w:tcW w:type="dxa" w:w="18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weekly_active_user_flag</w:t>
            </w:r>
          </w:p>
        </w:tc>
        <w:tc>
          <w:tcPr>
            <w:tcW w:type="dxa" w:w="38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COUNT(events) &gt;= 1 within week_start to week_end for user_id</w:t>
            </w:r>
          </w:p>
        </w:tc>
        <w:tc>
          <w:tcPr>
            <w:tcW w:type="dxa" w:w="18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Weekly batch (Sunday)</w:t>
            </w:r>
          </w:p>
        </w:tc>
        <w:tc>
          <w:tcPr>
            <w:tcW w:type="dxa" w:w="19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AI Adoption KPI</w:t>
            </w:r>
          </w:p>
        </w:tc>
      </w:tr>
      <w:tr>
        <w:tc>
          <w:tcPr>
            <w:tcW w:type="dxa" w:w="1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team_avg_score</w:t>
            </w:r>
          </w:p>
        </w:tc>
        <w:tc>
          <w:tcPr>
            <w:tcW w:type="dxa" w:w="3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AVG(validation_score) for all user_ids in team_id
With outlier cap at P5 and P95</w:t>
            </w:r>
          </w:p>
        </w:tc>
        <w:tc>
          <w:tcPr>
            <w:tcW w:type="dxa" w:w="1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Weekly batch (Sunday)</w:t>
            </w:r>
          </w:p>
        </w:tc>
        <w:tc>
          <w:tcPr>
            <w:tcW w:type="dxa" w:w="19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AI Adoption KPI; Leadership dashboard</w:t>
            </w:r>
          </w:p>
        </w:tc>
      </w:tr>
      <w:tr>
        <w:tc>
          <w:tcPr>
            <w:tcW w:type="dxa" w:w="18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org_ai_readiness_score</w:t>
            </w:r>
          </w:p>
        </w:tc>
        <w:tc>
          <w:tcPr>
            <w:tcW w:type="dxa" w:w="38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Composite: (adoption_rate * 0.35) + (avg_validation_score_normalized * 0.40) + (pct_positive_velocity_users * 0.25)
Expressed 0–100</w:t>
            </w:r>
          </w:p>
        </w:tc>
        <w:tc>
          <w:tcPr>
            <w:tcW w:type="dxa" w:w="18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Weekly batch (Sunday)</w:t>
            </w:r>
          </w:p>
        </w:tc>
        <w:tc>
          <w:tcPr>
            <w:tcW w:type="dxa" w:w="19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All three KPIs; Executive reporting</w:t>
            </w:r>
          </w:p>
        </w:tc>
      </w:tr>
    </w:tbl>
    <w:p>
      <w:pPr>
        <w:spacing w:before="140" w:after="0"/>
      </w:pPr>
      <w:r>
        <w:rPr>
          <w:rFonts w:ascii="Arial" w:cs="Arial" w:eastAsia="Arial" w:hAnsi="Arial"/>
          <w:b w:val="false"/>
          <w:bCs w:val="false"/>
          <w:i w:val="false"/>
          <w:iCs w:val="false"/>
          <w:cap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top"/>
          </w:tcPr>
          <w:p>
            <w:pPr>
              <w:spacing w:before="60" w:after="60"/>
            </w:pPr>
            <w:r>
              <w:rPr>
                <w:rFonts w:ascii="Arial" w:cs="Arial" w:eastAsia="Arial" w:hAnsi="Arial"/>
                <w:b/>
                <w:bCs/>
                <w:caps/>
                <w:color w:val="FFFFFF"/>
                <w:sz w:val="18"/>
                <w:szCs w:val="18"/>
              </w:rPr>
              <w:t xml:space="preserve">STAGE 4  </w:t>
            </w:r>
            <w:r>
              <w:rPr>
                <w:rFonts w:ascii="Arial" w:cs="Arial" w:eastAsia="Arial" w:hAnsi="Arial"/>
                <w:b/>
                <w:bCs/>
                <w:caps/>
                <w:color w:val="D6E4F0"/>
                <w:sz w:val="18"/>
                <w:szCs w:val="18"/>
              </w:rPr>
              <w:t xml:space="preserve">SERVING</w:t>
            </w:r>
          </w:p>
        </w:tc>
      </w:tr>
    </w:tbl>
    <w:p>
      <w:pPr>
        <w:spacing w:before="80" w:after="0"/>
      </w:pPr>
      <w:r>
        <w:rPr>
          <w:rFonts w:ascii="Arial" w:cs="Arial" w:eastAsia="Arial" w:hAnsi="Arial"/>
          <w:b w:val="false"/>
          <w:bCs w:val="false"/>
          <w:i w:val="false"/>
          <w:iCs w:val="false"/>
          <w:caps w:val="false"/>
          <w:color w:val="1A202C"/>
          <w:sz w:val="22"/>
          <w:szCs w:val="22"/>
        </w:rPr>
        <w:t xml:space="preserve"/>
      </w:r>
    </w:p>
    <w:p>
      <w:pPr>
        <w:pStyle w:val="Heading3"/>
        <w:spacing w:before="200" w:after="80"/>
      </w:pPr>
      <w:r>
        <w:rPr>
          <w:rFonts w:ascii="Arial" w:cs="Arial" w:eastAsia="Arial" w:hAnsi="Arial"/>
          <w:b/>
          <w:bCs/>
          <w:color w:val="1F7A8C"/>
          <w:sz w:val="24"/>
          <w:szCs w:val="24"/>
        </w:rPr>
        <w:t xml:space="preserve">Stage 4 — Serving</w:t>
      </w:r>
    </w:p>
    <w:p>
      <w:pPr>
        <w:spacing w:before="80" w:after="100"/>
        <w:jc w:val="left"/>
      </w:pPr>
      <w:r>
        <w:rPr>
          <w:rFonts w:ascii="Arial" w:cs="Arial" w:eastAsia="Arial" w:hAnsi="Arial"/>
          <w:b w:val="false"/>
          <w:bCs w:val="false"/>
          <w:i w:val="false"/>
          <w:iCs w:val="false"/>
          <w:caps w:val="false"/>
          <w:color w:val="1A202C"/>
          <w:sz w:val="22"/>
          <w:szCs w:val="22"/>
        </w:rPr>
        <w:t xml:space="preserve">Stage 4 exposes aggregated intelligence through six read-only API endpoints. All endpoints require authentication via the Infovision auth service. Access scope, PII masking, and RBAC rules are enforced at the serving layer — not upstream.</w:t>
      </w:r>
    </w:p>
    <w:p>
      <w:pPr>
        <w:pStyle w:val="Heading4"/>
        <w:spacing w:before="160" w:after="60"/>
      </w:pPr>
      <w:r>
        <w:rPr>
          <w:rFonts w:ascii="Arial" w:cs="Arial" w:eastAsia="Arial" w:hAnsi="Arial"/>
          <w:b/>
          <w:bCs/>
          <w:color w:val="4A5568"/>
          <w:sz w:val="22"/>
          <w:szCs w:val="22"/>
        </w:rPr>
        <w:t xml:space="preserve">Key Engineering Rules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All serving endpoints are read-only — no pipeline writes may be triggered from the serving layer under any circumstance</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User-facing endpoints (/user/*) return only data for the authenticated user_id — cross-user data is never accessible through these endpoints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Leadership endpoints (/leadership/*) enforce RBAC: team leads see their team_id scope; practice heads see their practice scope; org-level access requires an explicit org_admin role</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PII masking at the serving layer: original_prompt and corrected_prompt are replaced with [REDACTED] in all /leadership/* endpoint responses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The leaderboard endpoint returns only score_delta ranking and display names — no raw scores, no prompt content, no team identifiers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Prompt library endpoint filters results by the requesting user's persona_id by default; an optional persona filter parameter allows cross-persona browsing by users with contributor or admin roles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All endpoints must return a structured error envelope (error_code, error_message, request_id) — never expose internal stack traces or raw database errors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Cache TTL for weekly summaries: 1 hour; for org and team dashboards: 15 minutes; for leaderboard: 5 minutes</w:t>
      </w:r>
    </w:p>
    <w:p>
      <w:pPr>
        <w:spacing w:before="100" w:after="0"/>
      </w:pPr>
      <w:r>
        <w:rPr>
          <w:rFonts w:ascii="Arial" w:cs="Arial" w:eastAsia="Arial" w:hAnsi="Arial"/>
          <w:b w:val="false"/>
          <w:bCs w:val="false"/>
          <w:i w:val="false"/>
          <w:iCs w:val="false"/>
          <w:cap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
        <w:gridCol w:w="1400"/>
        <w:gridCol w:w="2000"/>
        <w:gridCol w:w="3020"/>
      </w:tblGrid>
      <w:tr>
        <w:trPr>
          <w:tblHeader/>
        </w:trPr>
        <w:tc>
          <w:tcPr>
            <w:tcW w:type="dxa" w:w="240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Endpoint</w:t>
            </w:r>
          </w:p>
        </w:tc>
        <w:tc>
          <w:tcPr>
            <w:tcW w:type="dxa" w:w="54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Method</w:t>
            </w:r>
          </w:p>
        </w:tc>
        <w:tc>
          <w:tcPr>
            <w:tcW w:type="dxa" w:w="140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Audience</w:t>
            </w:r>
          </w:p>
        </w:tc>
        <w:tc>
          <w:tcPr>
            <w:tcW w:type="dxa" w:w="200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Auth / Scope</w:t>
            </w:r>
          </w:p>
        </w:tc>
        <w:tc>
          <w:tcPr>
            <w:tcW w:type="dxa" w:w="3020"/>
            <w:tcBorders>
              <w:top w:val="single" w:color="1F7A8C" w:sz="4"/>
              <w:left w:val="single" w:color="1F7A8C" w:sz="4"/>
              <w:bottom w:val="single" w:color="1F7A8C" w:sz="4"/>
              <w:right w:val="single" w:color="1F7A8C" w:sz="4"/>
            </w:tcBorders>
            <w:shd w:fill="1F7A8C"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Response Scope</w:t>
            </w:r>
          </w:p>
        </w:tc>
      </w:tr>
      <w:tr>
        <w:tc>
          <w:tcPr>
            <w:tcW w:type="dxa" w:w="24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/api/v1/user/weekly-summary</w:t>
            </w:r>
          </w:p>
        </w:tc>
        <w:tc>
          <w:tcPr>
            <w:tcW w:type="dxa" w:w="54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GET</w:t>
            </w:r>
          </w:p>
        </w:tc>
        <w:tc>
          <w:tcPr>
            <w:tcW w:type="dxa" w:w="14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Individual user</w:t>
            </w:r>
          </w:p>
        </w:tc>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Auth required · user_id scoped to self</w:t>
            </w:r>
          </w:p>
        </w:tc>
        <w:tc>
          <w:tcPr>
            <w:tcW w:type="dxa" w:w="302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Score for week, score_delta, top 3 improvement themes, library contributions, focus suggestion — NO raw prompt content</w:t>
            </w:r>
          </w:p>
        </w:tc>
      </w:tr>
      <w:tr>
        <w:tc>
          <w:tcPr>
            <w:tcW w:type="dxa" w:w="24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/api/v1/user/prompt-history</w:t>
            </w:r>
          </w:p>
        </w:tc>
        <w:tc>
          <w:tcPr>
            <w:tcW w:type="dxa" w:w="54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GET</w:t>
            </w:r>
          </w:p>
        </w:tc>
        <w:tc>
          <w:tcPr>
            <w:tcW w:type="dxa" w:w="14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Individual user</w:t>
            </w:r>
          </w:p>
        </w:tc>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Auth required · user_id scoped to self</w:t>
            </w:r>
          </w:p>
        </w:tc>
        <w:tc>
          <w:tcPr>
            <w:tcW w:type="dxa" w:w="302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Paginated list of user's own events: timestamp, prompt_type, score, suggestion_count, autofix_flag — original_prompt included</w:t>
            </w:r>
          </w:p>
        </w:tc>
      </w:tr>
      <w:tr>
        <w:tc>
          <w:tcPr>
            <w:tcW w:type="dxa" w:w="24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/api/v1/leadership/org-dashboard</w:t>
            </w:r>
          </w:p>
        </w:tc>
        <w:tc>
          <w:tcPr>
            <w:tcW w:type="dxa" w:w="54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GET</w:t>
            </w:r>
          </w:p>
        </w:tc>
        <w:tc>
          <w:tcPr>
            <w:tcW w:type="dxa" w:w="14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Senior leadership, practice heads</w:t>
            </w:r>
          </w:p>
        </w:tc>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Auth required · org_admin role</w:t>
            </w:r>
          </w:p>
        </w:tc>
        <w:tc>
          <w:tcPr>
            <w:tcW w:type="dxa" w:w="302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Org adoption rate, avg validation_score by persona, learning velocity distribution, weekly active users — all PII masked</w:t>
            </w:r>
          </w:p>
        </w:tc>
      </w:tr>
      <w:tr>
        <w:tc>
          <w:tcPr>
            <w:tcW w:type="dxa" w:w="24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/api/v1/leadership/team-report/{team_id}</w:t>
            </w:r>
          </w:p>
        </w:tc>
        <w:tc>
          <w:tcPr>
            <w:tcW w:type="dxa" w:w="54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GET</w:t>
            </w:r>
          </w:p>
        </w:tc>
        <w:tc>
          <w:tcPr>
            <w:tcW w:type="dxa" w:w="14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Team leads, delivery managers</w:t>
            </w:r>
          </w:p>
        </w:tc>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Auth required · team_id scope enforced</w:t>
            </w:r>
          </w:p>
        </w:tc>
        <w:tc>
          <w:tcPr>
            <w:tcW w:type="dxa" w:w="302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Team avg score, velocity trend, top improvement themes, intervention_flag count, adoption rate — PII masked</w:t>
            </w:r>
          </w:p>
        </w:tc>
      </w:tr>
      <w:tr>
        <w:tc>
          <w:tcPr>
            <w:tcW w:type="dxa" w:w="24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/api/v1/library/prompts</w:t>
            </w:r>
          </w:p>
        </w:tc>
        <w:tc>
          <w:tcPr>
            <w:tcW w:type="dxa" w:w="54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GET</w:t>
            </w:r>
          </w:p>
        </w:tc>
        <w:tc>
          <w:tcPr>
            <w:tcW w:type="dxa" w:w="14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All authenticated users</w:t>
            </w:r>
          </w:p>
        </w:tc>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Auth required · persona_id filter applied by default</w:t>
            </w:r>
          </w:p>
        </w:tc>
        <w:tc>
          <w:tcPr>
            <w:tcW w:type="dxa" w:w="302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Curated prompt_library_candidate records: prompt_type, corrected_prompt, improvement_points, persona_id — no user_id</w:t>
            </w:r>
          </w:p>
        </w:tc>
      </w:tr>
      <w:tr>
        <w:tc>
          <w:tcPr>
            <w:tcW w:type="dxa" w:w="24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/api/v1/leaderboard/weekly</w:t>
            </w:r>
          </w:p>
        </w:tc>
        <w:tc>
          <w:tcPr>
            <w:tcW w:type="dxa" w:w="54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GET</w:t>
            </w:r>
          </w:p>
        </w:tc>
        <w:tc>
          <w:tcPr>
            <w:tcW w:type="dxa" w:w="14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All authenticated users</w:t>
            </w:r>
          </w:p>
        </w:tc>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Auth required · no scope restriction</w:t>
            </w:r>
          </w:p>
        </w:tc>
        <w:tc>
          <w:tcPr>
            <w:tcW w:type="dxa" w:w="302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Top 10 users by score_delta for current week: display_name, score_delta — no team, no raw scores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color w:val="C8922A"/>
                <w:sz w:val="18"/>
                <w:szCs w:val="18"/>
              </w:rPr>
              <w:t xml:space="preserve">SECTION 4  </w:t>
            </w:r>
            <w:r>
              <w:rPr>
                <w:rFonts w:ascii="Arial" w:cs="Arial" w:eastAsia="Arial" w:hAnsi="Arial"/>
                <w:b/>
                <w:bCs/>
                <w:caps/>
                <w:color w:val="FFFFFF"/>
                <w:sz w:val="18"/>
                <w:szCs w:val="18"/>
              </w:rPr>
              <w:t xml:space="preserve">PHASE 2 PIPELINE EXTENSION — MCP / LLM LAYER</w:t>
            </w:r>
          </w:p>
        </w:tc>
      </w:tr>
    </w:tbl>
    <w:p>
      <w:pPr>
        <w:spacing w:before="80" w:after="0"/>
      </w:pPr>
      <w:r>
        <w:rPr>
          <w:rFonts w:ascii="Arial" w:cs="Arial" w:eastAsia="Arial" w:hAnsi="Arial"/>
          <w:b w:val="false"/>
          <w:bCs w:val="false"/>
          <w:i w:val="false"/>
          <w:iCs w:val="false"/>
          <w:caps w:val="false"/>
          <w:color w:val="1A202C"/>
          <w:sz w:val="22"/>
          <w:szCs w:val="22"/>
        </w:rPr>
        <w:t xml:space="preserve"/>
      </w:r>
    </w:p>
    <w:p>
      <w:pPr>
        <w:pStyle w:val="Heading1"/>
        <w:pBdr>
          <w:bottom w:val="single" w:color="2E5FA3" w:sz="8" w:space="4"/>
        </w:pBdr>
        <w:spacing w:before="360" w:after="160"/>
      </w:pPr>
      <w:r>
        <w:rPr>
          <w:rFonts w:ascii="Arial" w:cs="Arial" w:eastAsia="Arial" w:hAnsi="Arial"/>
          <w:b/>
          <w:bCs/>
          <w:caps/>
          <w:color w:val="1B3A6B"/>
          <w:sz w:val="36"/>
          <w:szCs w:val="36"/>
        </w:rPr>
        <w:t xml:space="preserve">Phase 2 Pipeline Extension — MCP / LLM Layer</w:t>
      </w:r>
    </w:p>
    <w:p>
      <w:pPr>
        <w:spacing w:before="80" w:after="100"/>
        <w:jc w:val="left"/>
      </w:pPr>
      <w:r>
        <w:rPr>
          <w:rFonts w:ascii="Arial" w:cs="Arial" w:eastAsia="Arial" w:hAnsi="Arial"/>
          <w:b w:val="false"/>
          <w:bCs w:val="false"/>
          <w:i w:val="false"/>
          <w:iCs w:val="false"/>
          <w:caps w:val="false"/>
          <w:color w:val="1A202C"/>
          <w:sz w:val="22"/>
          <w:szCs w:val="22"/>
        </w:rPr>
        <w:t xml:space="preserve">Phase 2 extends the Prompt Validator to the MCP (Model Context Protocol) / LLM layer, enabling validation to occur within tool-calling workflows where users interact with AI models through structured LLM sessions rather than direct API calls. No new pipeline stages are introduced. Phase 2 is an ingestion adapter that normalizes MCP tool-call events into the same standard JSON schema that Stage 1 already accepts.</w:t>
      </w:r>
    </w:p>
    <w:p>
      <w:pPr>
        <w:pStyle w:val="Heading2"/>
        <w:spacing w:before="280" w:after="120"/>
      </w:pPr>
      <w:r>
        <w:rPr>
          <w:rFonts w:ascii="Arial" w:cs="Arial" w:eastAsia="Arial" w:hAnsi="Arial"/>
          <w:b/>
          <w:bCs/>
          <w:color w:val="2E5FA3"/>
          <w:sz w:val="28"/>
          <w:szCs w:val="28"/>
        </w:rPr>
        <w:t xml:space="preserve">What Changes in Phase 2</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The ingestion layer gains an MCP channel adapter that listens for prompt validation tool calls from LLM sessions and translates them into the Stage 1 standard event schema</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delivery_channel is set to MCP by the adapter — this is the only schema field whose value changes between Phase 1 and Phase 2</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Two new optional fields are added to the transaction schema to carry MCP-specific context: mcp_tool_call_id and llm_session_context (see field definitions below)</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All Stage 2 enrichment (classification, scoring, autofix), Stage 3 aggregation, and Stage 4 serving logic operates without modification — the MCP adapter ensures schema conformance before any downstream processing</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The MCP adapter must strip all LLM system prompt content and model configuration from llm_session_context before ingestion — only model_name, model_version, and a non-reversible hash of the system prompt are retained</w:t>
      </w:r>
    </w:p>
    <w:p>
      <w:pPr>
        <w:spacing w:before="100" w:after="0"/>
      </w:pPr>
      <w:r>
        <w:rPr>
          <w:rFonts w:ascii="Arial" w:cs="Arial" w:eastAsia="Arial" w:hAnsi="Arial"/>
          <w:b w:val="false"/>
          <w:bCs w:val="false"/>
          <w:i w:val="false"/>
          <w:iCs w:val="false"/>
          <w:caps w:val="false"/>
          <w:color w:val="1A202C"/>
          <w:sz w:val="22"/>
          <w:szCs w:val="22"/>
        </w:rPr>
        <w:t xml:space="preserve"/>
      </w:r>
    </w:p>
    <w:p>
      <w:pPr>
        <w:pStyle w:val="Heading2"/>
        <w:spacing w:before="280" w:after="120"/>
      </w:pPr>
      <w:r>
        <w:rPr>
          <w:rFonts w:ascii="Arial" w:cs="Arial" w:eastAsia="Arial" w:hAnsi="Arial"/>
          <w:b/>
          <w:bCs/>
          <w:color w:val="2E5FA3"/>
          <w:sz w:val="28"/>
          <w:szCs w:val="28"/>
        </w:rPr>
        <w:t xml:space="preserve">What Stays Identical</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All 16 primary and strategic transaction fields defined in Section 2 remain unchanged</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Stage 1 schema validation rules, duplicate detection logic, and dead-letter handling are unchanged</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Stage 2 classification, scoring, and autofix enrichment are unchanged — the MCP context fields are not inputs to any scoring or classification model</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Stage 3 aggregation calculations, velocity formulas, and intervention flag logic are unchanged</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Stage 4 serving endpoints, RBAC rules, PII masking, and cache TTLs are unchanged</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All three business KPI calculations defined in Section 7 are unchanged</w:t>
      </w:r>
    </w:p>
    <w:p>
      <w:pPr>
        <w:spacing w:before="100" w:after="0"/>
      </w:pPr>
      <w:r>
        <w:rPr>
          <w:rFonts w:ascii="Arial" w:cs="Arial" w:eastAsia="Arial" w:hAnsi="Arial"/>
          <w:b w:val="false"/>
          <w:bCs w:val="false"/>
          <w:i w:val="false"/>
          <w:iCs w:val="false"/>
          <w:caps w:val="false"/>
          <w:color w:val="1A202C"/>
          <w:sz w:val="22"/>
          <w:szCs w:val="22"/>
        </w:rPr>
        <w:t xml:space="preserve"/>
      </w:r>
    </w:p>
    <w:p>
      <w:pPr>
        <w:pStyle w:val="Heading2"/>
        <w:spacing w:before="280" w:after="120"/>
      </w:pPr>
      <w:r>
        <w:rPr>
          <w:rFonts w:ascii="Arial" w:cs="Arial" w:eastAsia="Arial" w:hAnsi="Arial"/>
          <w:b/>
          <w:bCs/>
          <w:color w:val="2E5FA3"/>
          <w:sz w:val="28"/>
          <w:szCs w:val="28"/>
        </w:rPr>
        <w:t xml:space="preserve">Phase 2 New Schema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60"/>
        <w:gridCol w:w="600"/>
        <w:gridCol w:w="3000"/>
        <w:gridCol w:w="700"/>
        <w:gridCol w:w="800"/>
        <w:gridCol w:w="1600"/>
      </w:tblGrid>
      <w:tr>
        <w:trPr>
          <w:tblHeader/>
        </w:trPr>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Field Name</w:t>
            </w:r>
          </w:p>
        </w:tc>
        <w:tc>
          <w:tcPr>
            <w:tcW w:type="dxa" w:w="8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Data Type</w:t>
            </w:r>
          </w:p>
        </w:tc>
        <w:tc>
          <w:tcPr>
            <w:tcW w:type="dxa" w:w="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Required</w:t>
            </w:r>
          </w:p>
        </w:tc>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Population Rule</w:t>
            </w:r>
          </w:p>
        </w:tc>
        <w:tc>
          <w:tcPr>
            <w:tcW w:type="dxa" w:w="7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PII Class</w:t>
            </w:r>
          </w:p>
        </w:tc>
        <w:tc>
          <w:tcPr>
            <w:tcW w:type="dxa" w:w="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Retention</w:t>
            </w:r>
          </w:p>
        </w:tc>
        <w:tc>
          <w:tcPr>
            <w:tcW w:type="dxa" w:w="1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Notes</w:t>
            </w:r>
          </w:p>
        </w:tc>
      </w:tr>
      <w:tr>
        <w:tc>
          <w:tcPr>
            <w:tcW w:type="dxa" w:w="1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mcp_tool_call_id</w:t>
            </w:r>
          </w:p>
        </w:tc>
        <w:tc>
          <w:tcPr>
            <w:tcW w:type="dxa" w:w="8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VARCHAR(36)</w:t>
            </w:r>
          </w:p>
        </w:tc>
        <w:tc>
          <w:tcPr>
            <w:tcW w:type="dxa" w:w="6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Nullable for Phase 1; Required for Phase 2 events</w:t>
            </w:r>
          </w:p>
        </w:tc>
        <w:tc>
          <w:tcPr>
            <w:tcW w:type="dxa" w:w="3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Assigned by the MCP runtime; carried through from the tool call initiation event</w:t>
            </w:r>
          </w:p>
        </w:tc>
        <w:tc>
          <w:tcPr>
            <w:tcW w:type="dxa" w:w="7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Non-PII</w:t>
            </w:r>
          </w:p>
        </w:tc>
        <w:tc>
          <w:tcPr>
            <w:tcW w:type="dxa" w:w="8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60 months</w:t>
            </w:r>
          </w:p>
        </w:tc>
        <w:tc>
          <w:tcPr>
            <w:tcW w:type="dxa" w:w="16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Used for debugging and session correlation only; not used in any scoring or aggregation calculation</w:t>
            </w:r>
          </w:p>
        </w:tc>
      </w:tr>
      <w:tr>
        <w:tc>
          <w:tcPr>
            <w:tcW w:type="dxa" w:w="18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llm_session_context</w:t>
            </w:r>
          </w:p>
        </w:tc>
        <w:tc>
          <w:tcPr>
            <w:tcW w:type="dxa" w:w="8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JSON</w:t>
            </w:r>
          </w:p>
        </w:tc>
        <w:tc>
          <w:tcPr>
            <w:tcW w:type="dxa" w:w="6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Nullable for Phase 1; Required for Phase 2 events</w:t>
            </w:r>
          </w:p>
        </w:tc>
        <w:tc>
          <w:tcPr>
            <w:tcW w:type="dxa" w:w="3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Set by MCP adapter: {model_name: string, model_version: string, system_prompt_hash: string (SHA-256, non-reversible)} — no user data, no full system prompt</w:t>
            </w:r>
          </w:p>
        </w:tc>
        <w:tc>
          <w:tcPr>
            <w:tcW w:type="dxa" w:w="7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Non-PII</w:t>
            </w:r>
          </w:p>
        </w:tc>
        <w:tc>
          <w:tcPr>
            <w:tcW w:type="dxa" w:w="8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60 months</w:t>
            </w:r>
          </w:p>
        </w:tc>
        <w:tc>
          <w:tcPr>
            <w:tcW w:type="dxa" w:w="16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system_prompt_hash enables detection of prompt quality variations across different system configurations without exposing prompt content</w:t>
            </w:r>
          </w:p>
        </w:tc>
      </w:tr>
    </w:tbl>
    <w:p>
      <w:pPr>
        <w:spacing w:before="100" w:after="0"/>
      </w:pPr>
      <w:r>
        <w:rPr>
          <w:rFonts w:ascii="Arial" w:cs="Arial" w:eastAsia="Arial" w:hAnsi="Arial"/>
          <w:b w:val="false"/>
          <w:bCs w:val="false"/>
          <w:i w:val="false"/>
          <w:iCs w:val="false"/>
          <w:cap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7FBF" w:sz="6"/>
              <w:left w:val="single" w:color="3D7FBF" w:sz="20"/>
              <w:bottom w:val="single" w:color="3D7FBF" w:sz="6"/>
              <w:right w:val="single" w:color="3D7FBF" w:sz="6"/>
            </w:tcBorders>
            <w:shd w:fill="EBF4FA" w:val="clear"/>
            <w:tcMar>
              <w:top w:type="dxa" w:w="80"/>
              <w:left w:type="dxa" w:w="120"/>
              <w:bottom w:type="dxa" w:w="80"/>
              <w:right w:type="dxa" w:w="120"/>
            </w:tcMar>
            <w:vAlign w:val="top"/>
          </w:tcPr>
          <w:p>
            <w:pPr>
              <w:spacing w:before="40" w:after="40"/>
            </w:pPr>
            <w:r>
              <w:rPr>
                <w:rFonts w:ascii="Arial" w:cs="Arial" w:eastAsia="Arial" w:hAnsi="Arial"/>
                <w:b/>
                <w:bCs/>
                <w:color w:val="3D7FBF"/>
                <w:sz w:val="20"/>
                <w:szCs w:val="20"/>
              </w:rPr>
              <w:t xml:space="preserve">Architecture principle:  </w:t>
            </w:r>
            <w:r>
              <w:rPr>
                <w:rFonts w:ascii="Arial" w:cs="Arial" w:eastAsia="Arial" w:hAnsi="Arial"/>
                <w:color w:val="4A5568"/>
                <w:sz w:val="20"/>
                <w:szCs w:val="20"/>
              </w:rPr>
              <w:t xml:space="preserve">Phase 2 is an ingestion extension, not a pipeline fork. If the MCP adapter is offline, Phase 1 continues operating without interruption. MCP events queue and are processed on adapter recovery — no data loss.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top"/>
          </w:tcPr>
          <w:p>
            <w:pPr>
              <w:spacing w:before="60" w:after="60"/>
            </w:pPr>
            <w:r>
              <w:rPr>
                <w:rFonts w:ascii="Arial" w:cs="Arial" w:eastAsia="Arial" w:hAnsi="Arial"/>
                <w:b/>
                <w:bCs/>
                <w:caps/>
                <w:color w:val="C8922A"/>
                <w:sz w:val="18"/>
                <w:szCs w:val="18"/>
              </w:rPr>
              <w:t xml:space="preserve">SECTION 5  </w:t>
            </w:r>
            <w:r>
              <w:rPr>
                <w:rFonts w:ascii="Arial" w:cs="Arial" w:eastAsia="Arial" w:hAnsi="Arial"/>
                <w:b/>
                <w:bCs/>
                <w:caps/>
                <w:color w:val="FFFFFF"/>
                <w:sz w:val="18"/>
                <w:szCs w:val="18"/>
              </w:rPr>
              <w:t xml:space="preserve">PHASE 3 &amp; PHASE 4 — SPECIFICATION PENDING</w:t>
            </w:r>
          </w:p>
        </w:tc>
      </w:tr>
    </w:tbl>
    <w:p>
      <w:pPr>
        <w:spacing w:before="80" w:after="0"/>
      </w:pPr>
      <w:r>
        <w:rPr>
          <w:rFonts w:ascii="Arial" w:cs="Arial" w:eastAsia="Arial" w:hAnsi="Arial"/>
          <w:b w:val="false"/>
          <w:bCs w:val="false"/>
          <w:i w:val="false"/>
          <w:iCs w:val="false"/>
          <w:caps w:val="false"/>
          <w:color w:val="1A202C"/>
          <w:sz w:val="22"/>
          <w:szCs w:val="22"/>
        </w:rPr>
        <w:t xml:space="preserve"/>
      </w:r>
    </w:p>
    <w:p>
      <w:pPr>
        <w:pStyle w:val="Heading1"/>
        <w:pBdr>
          <w:bottom w:val="single" w:color="2E5FA3" w:sz="8" w:space="4"/>
        </w:pBdr>
        <w:spacing w:before="360" w:after="160"/>
      </w:pPr>
      <w:r>
        <w:rPr>
          <w:rFonts w:ascii="Arial" w:cs="Arial" w:eastAsia="Arial" w:hAnsi="Arial"/>
          <w:b/>
          <w:bCs/>
          <w:caps/>
          <w:color w:val="1B3A6B"/>
          <w:sz w:val="36"/>
          <w:szCs w:val="36"/>
        </w:rPr>
        <w:t xml:space="preserve">Phase 3 &amp; Phase 4 — Specification Pending</w:t>
      </w:r>
    </w:p>
    <w:p>
      <w:pPr>
        <w:pStyle w:val="Heading2"/>
        <w:spacing w:before="280" w:after="120"/>
      </w:pPr>
      <w:r>
        <w:rPr>
          <w:rFonts w:ascii="Arial" w:cs="Arial" w:eastAsia="Arial" w:hAnsi="Arial"/>
          <w:b/>
          <w:bCs/>
          <w:color w:val="2E5FA3"/>
          <w:sz w:val="28"/>
          <w:szCs w:val="28"/>
        </w:rPr>
        <w:t xml:space="preserve">Phase 3 — Chat Interface</w:t>
      </w:r>
    </w:p>
    <w:p>
      <w:pPr>
        <w:spacing w:before="80" w:after="100"/>
        <w:jc w:val="left"/>
      </w:pPr>
      <w:r>
        <w:rPr>
          <w:rFonts w:ascii="Arial" w:cs="Arial" w:eastAsia="Arial" w:hAnsi="Arial"/>
          <w:b w:val="false"/>
          <w:bCs w:val="false"/>
          <w:i w:val="false"/>
          <w:iCs w:val="false"/>
          <w:caps w:val="false"/>
          <w:color w:val="1A202C"/>
          <w:sz w:val="22"/>
          <w:szCs w:val="22"/>
        </w:rPr>
        <w:t xml:space="preserve">Phase 3 extends the Prompt Validator to conversational chat interfaces, enabling users to receive validation and autofix capability within chat-based AI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AC5" w:sz="6"/>
              <w:left w:val="single" w:color="B0BAC5" w:sz="20"/>
              <w:bottom w:val="single" w:color="B0BAC5" w:sz="6"/>
              <w:right w:val="single" w:color="B0BAC5" w:sz="6"/>
            </w:tcBorders>
            <w:shd w:fill="E8EDF2" w:val="clear"/>
            <w:tcMar>
              <w:top w:type="dxa" w:w="80"/>
              <w:left w:type="dxa" w:w="120"/>
              <w:bottom w:type="dxa" w:w="80"/>
              <w:right w:type="dxa" w:w="120"/>
            </w:tcMar>
            <w:vAlign w:val="top"/>
          </w:tcPr>
          <w:p>
            <w:pPr>
              <w:spacing w:before="40" w:after="40"/>
            </w:pPr>
            <w:r>
              <w:rPr>
                <w:rFonts w:ascii="Arial" w:cs="Arial" w:eastAsia="Arial" w:hAnsi="Arial"/>
                <w:b/>
                <w:bCs/>
                <w:color w:val="B0BAC5"/>
                <w:sz w:val="20"/>
                <w:szCs w:val="20"/>
              </w:rPr>
              <w:t xml:space="preserve">Status: TBD  </w:t>
            </w:r>
            <w:r>
              <w:rPr>
                <w:rFonts w:ascii="Arial" w:cs="Arial" w:eastAsia="Arial" w:hAnsi="Arial"/>
                <w:color w:val="4A5568"/>
                <w:sz w:val="20"/>
                <w:szCs w:val="20"/>
              </w:rPr>
              <w:t xml:space="preserve">Full pipeline specification for Phase 3 will be authored once Phase 2 is in production and Phase 3 channel requirements have been validated. The anticipated pattern mirrors Phase 2: a channel adapter normalizes chat events to the Stage 1 schema. delivery_channel will be set to CHAT. No new pipeline stages are expected.</w:t>
            </w:r>
          </w:p>
        </w:tc>
      </w:tr>
    </w:tbl>
    <w:p>
      <w:pPr>
        <w:spacing w:before="80" w:after="100"/>
        <w:jc w:val="left"/>
      </w:pPr>
      <w:r>
        <w:rPr>
          <w:rFonts w:ascii="Arial" w:cs="Arial" w:eastAsia="Arial" w:hAnsi="Arial"/>
          <w:b w:val="false"/>
          <w:bCs w:val="false"/>
          <w:i/>
          <w:iCs/>
          <w:caps w:val="false"/>
          <w:color w:val="4A5568"/>
          <w:sz w:val="22"/>
          <w:szCs w:val="22"/>
        </w:rPr>
        <w:t xml:space="preserve">Anticipated additional schema fields for Phase 3: tbd_chat_session_id, tbd_conversation_turn_index.</w:t>
      </w:r>
    </w:p>
    <w:p>
      <w:pPr>
        <w:spacing w:before="100" w:after="0"/>
      </w:pPr>
      <w:r>
        <w:rPr>
          <w:rFonts w:ascii="Arial" w:cs="Arial" w:eastAsia="Arial" w:hAnsi="Arial"/>
          <w:b w:val="false"/>
          <w:bCs w:val="false"/>
          <w:i w:val="false"/>
          <w:iCs w:val="false"/>
          <w:caps w:val="false"/>
          <w:color w:val="1A202C"/>
          <w:sz w:val="22"/>
          <w:szCs w:val="22"/>
        </w:rPr>
        <w:t xml:space="preserve"/>
      </w:r>
    </w:p>
    <w:p>
      <w:pPr>
        <w:pStyle w:val="Heading2"/>
        <w:spacing w:before="280" w:after="120"/>
      </w:pPr>
      <w:r>
        <w:rPr>
          <w:rFonts w:ascii="Arial" w:cs="Arial" w:eastAsia="Arial" w:hAnsi="Arial"/>
          <w:b/>
          <w:bCs/>
          <w:color w:val="2E5FA3"/>
          <w:sz w:val="28"/>
          <w:szCs w:val="28"/>
        </w:rPr>
        <w:t xml:space="preserve">Phase 4 — IDE Plugin</w:t>
      </w:r>
    </w:p>
    <w:p>
      <w:pPr>
        <w:spacing w:before="80" w:after="100"/>
        <w:jc w:val="left"/>
      </w:pPr>
      <w:r>
        <w:rPr>
          <w:rFonts w:ascii="Arial" w:cs="Arial" w:eastAsia="Arial" w:hAnsi="Arial"/>
          <w:b w:val="false"/>
          <w:bCs w:val="false"/>
          <w:i w:val="false"/>
          <w:iCs w:val="false"/>
          <w:caps w:val="false"/>
          <w:color w:val="1A202C"/>
          <w:sz w:val="22"/>
          <w:szCs w:val="22"/>
        </w:rPr>
        <w:t xml:space="preserve">Phase 4 extends the Prompt Validator into developer IDE environments, allowing validation and improvement suggestions to surface inline within the coding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AC5" w:sz="6"/>
              <w:left w:val="single" w:color="B0BAC5" w:sz="20"/>
              <w:bottom w:val="single" w:color="B0BAC5" w:sz="6"/>
              <w:right w:val="single" w:color="B0BAC5" w:sz="6"/>
            </w:tcBorders>
            <w:shd w:fill="E8EDF2" w:val="clear"/>
            <w:tcMar>
              <w:top w:type="dxa" w:w="80"/>
              <w:left w:type="dxa" w:w="120"/>
              <w:bottom w:type="dxa" w:w="80"/>
              <w:right w:type="dxa" w:w="120"/>
            </w:tcMar>
            <w:vAlign w:val="top"/>
          </w:tcPr>
          <w:p>
            <w:pPr>
              <w:spacing w:before="40" w:after="40"/>
            </w:pPr>
            <w:r>
              <w:rPr>
                <w:rFonts w:ascii="Arial" w:cs="Arial" w:eastAsia="Arial" w:hAnsi="Arial"/>
                <w:b/>
                <w:bCs/>
                <w:color w:val="B0BAC5"/>
                <w:sz w:val="20"/>
                <w:szCs w:val="20"/>
              </w:rPr>
              <w:t xml:space="preserve">Status: TBD  </w:t>
            </w:r>
            <w:r>
              <w:rPr>
                <w:rFonts w:ascii="Arial" w:cs="Arial" w:eastAsia="Arial" w:hAnsi="Arial"/>
                <w:color w:val="4A5568"/>
                <w:sz w:val="20"/>
                <w:szCs w:val="20"/>
              </w:rPr>
              <w:t xml:space="preserve">Full pipeline specification for Phase 4 will be authored once Phase 3 is in production and IDE integration requirements have been scoped. delivery_channel will be set to IDE. Developer persona-specific considerations (e.g., code context metadata, file type, editor state) will be evaluated for inclusion as optional schema fields.</w:t>
            </w:r>
          </w:p>
        </w:tc>
      </w:tr>
    </w:tbl>
    <w:p>
      <w:pPr>
        <w:spacing w:before="80" w:after="0"/>
      </w:pPr>
      <w:r>
        <w:rPr>
          <w:rFonts w:ascii="Arial" w:cs="Arial" w:eastAsia="Arial" w:hAnsi="Arial"/>
          <w:b w:val="false"/>
          <w:bCs w:val="false"/>
          <w:i w:val="false"/>
          <w:iCs w:val="false"/>
          <w:caps w:val="false"/>
          <w:color w:val="1A202C"/>
          <w:sz w:val="22"/>
          <w:szCs w:val="22"/>
        </w:rPr>
        <w:t xml:space="preserve"/>
      </w:r>
    </w:p>
    <w:p>
      <w:pPr>
        <w:spacing w:before="80" w:after="100"/>
        <w:jc w:val="left"/>
      </w:pPr>
      <w:r>
        <w:rPr>
          <w:rFonts w:ascii="Arial" w:cs="Arial" w:eastAsia="Arial" w:hAnsi="Arial"/>
          <w:b w:val="false"/>
          <w:bCs w:val="false"/>
          <w:i/>
          <w:iCs/>
          <w:caps w:val="false"/>
          <w:color w:val="4A5568"/>
          <w:sz w:val="22"/>
          <w:szCs w:val="22"/>
        </w:rPr>
        <w:t xml:space="preserve">Both Phase 3 and Phase 4 share the same design constraint as Phase 2: they are channel extensions of the Phase 1 engine. The scoring model, aggregation logic, KPI calculations, and serving layer are not modified.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5E" w:sz="4"/>
              <w:left w:val="single" w:color="2E7D5E" w:sz="4"/>
              <w:bottom w:val="single" w:color="2E7D5E" w:sz="4"/>
              <w:right w:val="single" w:color="2E7D5E" w:sz="4"/>
            </w:tcBorders>
            <w:shd w:fill="2E7D5E" w:val="clear"/>
            <w:tcMar>
              <w:top w:type="dxa" w:w="80"/>
              <w:left w:type="dxa" w:w="120"/>
              <w:bottom w:type="dxa" w:w="80"/>
              <w:right w:type="dxa" w:w="120"/>
            </w:tcMar>
            <w:vAlign w:val="top"/>
          </w:tcPr>
          <w:p>
            <w:pPr>
              <w:spacing w:before="60" w:after="60"/>
            </w:pPr>
            <w:r>
              <w:rPr>
                <w:rFonts w:ascii="Arial" w:cs="Arial" w:eastAsia="Arial" w:hAnsi="Arial"/>
                <w:b/>
                <w:bCs/>
                <w:caps/>
                <w:color w:val="C8922A"/>
                <w:sz w:val="18"/>
                <w:szCs w:val="18"/>
              </w:rPr>
              <w:t xml:space="preserve">SECTION 6  </w:t>
            </w:r>
            <w:r>
              <w:rPr>
                <w:rFonts w:ascii="Arial" w:cs="Arial" w:eastAsia="Arial" w:hAnsi="Arial"/>
                <w:b/>
                <w:bCs/>
                <w:caps/>
                <w:color w:val="FFFFFF"/>
                <w:sz w:val="18"/>
                <w:szCs w:val="18"/>
              </w:rPr>
              <w:t xml:space="preserve">DATA QUALITY &amp; GOVERNANCE</w:t>
            </w:r>
          </w:p>
        </w:tc>
      </w:tr>
    </w:tbl>
    <w:p>
      <w:pPr>
        <w:spacing w:before="80" w:after="0"/>
      </w:pPr>
      <w:r>
        <w:rPr>
          <w:rFonts w:ascii="Arial" w:cs="Arial" w:eastAsia="Arial" w:hAnsi="Arial"/>
          <w:b w:val="false"/>
          <w:bCs w:val="false"/>
          <w:i w:val="false"/>
          <w:iCs w:val="false"/>
          <w:caps w:val="false"/>
          <w:color w:val="1A202C"/>
          <w:sz w:val="22"/>
          <w:szCs w:val="22"/>
        </w:rPr>
        <w:t xml:space="preserve"/>
      </w:r>
    </w:p>
    <w:p>
      <w:pPr>
        <w:pStyle w:val="Heading1"/>
        <w:pBdr>
          <w:bottom w:val="single" w:color="2E5FA3" w:sz="8" w:space="4"/>
        </w:pBdr>
        <w:spacing w:before="360" w:after="160"/>
      </w:pPr>
      <w:r>
        <w:rPr>
          <w:rFonts w:ascii="Arial" w:cs="Arial" w:eastAsia="Arial" w:hAnsi="Arial"/>
          <w:b/>
          <w:bCs/>
          <w:caps/>
          <w:color w:val="1B3A6B"/>
          <w:sz w:val="36"/>
          <w:szCs w:val="36"/>
        </w:rPr>
        <w:t xml:space="preserve">Data Quality &amp; Governance</w:t>
      </w:r>
    </w:p>
    <w:p>
      <w:pPr>
        <w:spacing w:before="80" w:after="100"/>
        <w:jc w:val="left"/>
      </w:pPr>
      <w:r>
        <w:rPr>
          <w:rFonts w:ascii="Arial" w:cs="Arial" w:eastAsia="Arial" w:hAnsi="Arial"/>
          <w:b w:val="false"/>
          <w:bCs w:val="false"/>
          <w:i w:val="false"/>
          <w:iCs w:val="false"/>
          <w:caps w:val="false"/>
          <w:color w:val="1A202C"/>
          <w:sz w:val="22"/>
          <w:szCs w:val="22"/>
        </w:rPr>
        <w:t xml:space="preserve">Data quality and governance are enforced across three dimensions: field-level validation rules that prevent bad data from entering the pipeline, operational alerts that surface quality degradation before it impacts business reporting, and data governance policies that govern PII handling, retention, and access control.</w:t>
      </w:r>
    </w:p>
    <w:p>
      <w:pPr>
        <w:pStyle w:val="Heading2"/>
        <w:spacing w:before="280" w:after="120"/>
      </w:pPr>
      <w:r>
        <w:rPr>
          <w:rFonts w:ascii="Arial" w:cs="Arial" w:eastAsia="Arial" w:hAnsi="Arial"/>
          <w:b/>
          <w:bCs/>
          <w:color w:val="2E5FA3"/>
          <w:sz w:val="28"/>
          <w:szCs w:val="28"/>
        </w:rPr>
        <w:t xml:space="preserve">Field-Level Validation Rules</w:t>
      </w:r>
    </w:p>
    <w:p>
      <w:pPr>
        <w:spacing w:before="80" w:after="100"/>
        <w:jc w:val="left"/>
      </w:pPr>
      <w:r>
        <w:rPr>
          <w:rFonts w:ascii="Arial" w:cs="Arial" w:eastAsia="Arial" w:hAnsi="Arial"/>
          <w:b w:val="false"/>
          <w:bCs w:val="false"/>
          <w:i w:val="false"/>
          <w:iCs w:val="false"/>
          <w:caps w:val="false"/>
          <w:color w:val="1A202C"/>
          <w:sz w:val="22"/>
          <w:szCs w:val="22"/>
        </w:rPr>
        <w:t xml:space="preserve">The following rules define what constitutes a valid transaction record. Violations at the raw_events stage route to dead_letter_events. Violations detected post-enrichment are flagged in enriched_events with an enrichment_error = TRUE marker.</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All required fields must be non-null and non-empty in enriched_events — a null required field in enriched_events is a pipeline defect requiring immediate investigation</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persona_id must match the enum set defined in the persona_registry table — any value outside this set is rejected at ingestion with error code INVALID_PERSONA</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validation_score must fall within the range 0.00 to 10.00 inclusive — scores outside this range indicate a scoring engine defect; the event must be quarantined</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delivery_channel must match the enum: API | MCP | CHAT | IDE — any other value is rejected at ingestion with error code INVALID_CHANNEL</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event_timestamp must not be more than 60 seconds in the past or in the future at time of ingestion — events outside this window are written to dead_letter_events with error code TIMESTAMP_OUT_OF_RANGE</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suggestion_count must equal the actual length of the suggestions JSON array — mismatches between the count field and the array length indicate a scoring engine serialization defect</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autofix_improvement_points, when not null, must be a valid JSON array with at minimum one element conforming to the defined improvement object schema (dimension, original_text, improved_text, rationale)</w:t>
      </w:r>
    </w:p>
    <w:p>
      <w:pPr>
        <w:spacing w:before="100" w:after="0"/>
      </w:pPr>
      <w:r>
        <w:rPr>
          <w:rFonts w:ascii="Arial" w:cs="Arial" w:eastAsia="Arial" w:hAnsi="Arial"/>
          <w:b w:val="false"/>
          <w:bCs w:val="false"/>
          <w:i w:val="false"/>
          <w:iCs w:val="false"/>
          <w:cap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rPr>
          <w:tblHeader/>
        </w:trPr>
        <w:tc>
          <w:tcPr>
            <w:tcW w:type="dxa" w:w="2400"/>
            <w:tcBorders>
              <w:top w:val="single" w:color="2E7D5E" w:sz="4"/>
              <w:left w:val="single" w:color="2E7D5E" w:sz="4"/>
              <w:bottom w:val="single" w:color="2E7D5E" w:sz="4"/>
              <w:right w:val="single" w:color="2E7D5E" w:sz="4"/>
            </w:tcBorders>
            <w:shd w:fill="2E7D5E"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Validation Rule</w:t>
            </w:r>
          </w:p>
        </w:tc>
        <w:tc>
          <w:tcPr>
            <w:tcW w:type="dxa" w:w="1600"/>
            <w:tcBorders>
              <w:top w:val="single" w:color="2E7D5E" w:sz="4"/>
              <w:left w:val="single" w:color="2E7D5E" w:sz="4"/>
              <w:bottom w:val="single" w:color="2E7D5E" w:sz="4"/>
              <w:right w:val="single" w:color="2E7D5E" w:sz="4"/>
            </w:tcBorders>
            <w:shd w:fill="2E7D5E"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Field(s) Affected</w:t>
            </w:r>
          </w:p>
        </w:tc>
        <w:tc>
          <w:tcPr>
            <w:tcW w:type="dxa" w:w="1200"/>
            <w:tcBorders>
              <w:top w:val="single" w:color="2E7D5E" w:sz="4"/>
              <w:left w:val="single" w:color="2E7D5E" w:sz="4"/>
              <w:bottom w:val="single" w:color="2E7D5E" w:sz="4"/>
              <w:right w:val="single" w:color="2E7D5E" w:sz="4"/>
            </w:tcBorders>
            <w:shd w:fill="2E7D5E"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Error Code</w:t>
            </w:r>
          </w:p>
        </w:tc>
        <w:tc>
          <w:tcPr>
            <w:tcW w:type="dxa" w:w="4160"/>
            <w:tcBorders>
              <w:top w:val="single" w:color="2E7D5E" w:sz="4"/>
              <w:left w:val="single" w:color="2E7D5E" w:sz="4"/>
              <w:bottom w:val="single" w:color="2E7D5E" w:sz="4"/>
              <w:right w:val="single" w:color="2E7D5E" w:sz="4"/>
            </w:tcBorders>
            <w:shd w:fill="2E7D5E"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Handling Action</w:t>
            </w:r>
          </w:p>
        </w:tc>
      </w:tr>
      <w:tr>
        <w:tc>
          <w:tcPr>
            <w:tcW w:type="dxa" w:w="24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Required field is null or empty</w:t>
            </w:r>
          </w:p>
        </w:tc>
        <w:tc>
          <w:tcPr>
            <w:tcW w:type="dxa" w:w="16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All required fields</w:t>
            </w:r>
          </w:p>
        </w:tc>
        <w:tc>
          <w:tcPr>
            <w:tcW w:type="dxa" w:w="12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REQUIRED_FIELD_NULL</w:t>
            </w:r>
          </w:p>
        </w:tc>
        <w:tc>
          <w:tcPr>
            <w:tcW w:type="dxa" w:w="41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Route to dead_letter_events; increment required_null_count metric; alert if count &gt; 10 in 1 hour</w:t>
            </w:r>
          </w:p>
        </w:tc>
      </w:tr>
      <w:tr>
        <w:tc>
          <w:tcPr>
            <w:tcW w:type="dxa" w:w="24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persona_id not in enum</w:t>
            </w:r>
          </w:p>
        </w:tc>
        <w:tc>
          <w:tcPr>
            <w:tcW w:type="dxa" w:w="16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persona_id</w:t>
            </w:r>
          </w:p>
        </w:tc>
        <w:tc>
          <w:tcPr>
            <w:tcW w:type="dxa" w:w="12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INVALID_PERSONA</w:t>
            </w:r>
          </w:p>
        </w:tc>
        <w:tc>
          <w:tcPr>
            <w:tcW w:type="dxa" w:w="41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Route to dead_letter_events; log user_id for support triage; do not process</w:t>
            </w:r>
          </w:p>
        </w:tc>
      </w:tr>
      <w:tr>
        <w:tc>
          <w:tcPr>
            <w:tcW w:type="dxa" w:w="24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validation_score out of range</w:t>
            </w:r>
          </w:p>
        </w:tc>
        <w:tc>
          <w:tcPr>
            <w:tcW w:type="dxa" w:w="16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validation_score</w:t>
            </w:r>
          </w:p>
        </w:tc>
        <w:tc>
          <w:tcPr>
            <w:tcW w:type="dxa" w:w="12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SCORE_OUT_OF_RANGE</w:t>
            </w:r>
          </w:p>
        </w:tc>
        <w:tc>
          <w:tcPr>
            <w:tcW w:type="dxa" w:w="41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Write to enriched_events with enrichment_error = TRUE; quarantine from aggregation; alert scoring team immediately</w:t>
            </w:r>
          </w:p>
        </w:tc>
      </w:tr>
      <w:tr>
        <w:tc>
          <w:tcPr>
            <w:tcW w:type="dxa" w:w="24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Timestamp drift &gt; 60s</w:t>
            </w:r>
          </w:p>
        </w:tc>
        <w:tc>
          <w:tcPr>
            <w:tcW w:type="dxa" w:w="16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event_timestamp</w:t>
            </w:r>
          </w:p>
        </w:tc>
        <w:tc>
          <w:tcPr>
            <w:tcW w:type="dxa" w:w="12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TIMESTAMP_OUT_OF_RANGE</w:t>
            </w:r>
          </w:p>
        </w:tc>
        <w:tc>
          <w:tcPr>
            <w:tcW w:type="dxa" w:w="41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Route to dead_letter_events; log source IP and user_id; monitor for replay attack patterns</w:t>
            </w:r>
          </w:p>
        </w:tc>
      </w:tr>
      <w:tr>
        <w:tc>
          <w:tcPr>
            <w:tcW w:type="dxa" w:w="24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suggestion_count mismatch</w:t>
            </w:r>
          </w:p>
        </w:tc>
        <w:tc>
          <w:tcPr>
            <w:tcW w:type="dxa" w:w="16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suggestion_count, suggestions array</w:t>
            </w:r>
          </w:p>
        </w:tc>
        <w:tc>
          <w:tcPr>
            <w:tcW w:type="dxa" w:w="12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SUGGESTION_COUNT_MISMATCH</w:t>
            </w:r>
          </w:p>
        </w:tc>
        <w:tc>
          <w:tcPr>
            <w:tcW w:type="dxa" w:w="41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Write to enriched_events with enrichment_error = TRUE; exclude from suggestion_acceptance_rate calculation</w:t>
            </w:r>
          </w:p>
        </w:tc>
      </w:tr>
      <w:tr>
        <w:tc>
          <w:tcPr>
            <w:tcW w:type="dxa" w:w="24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Invalid autofix_improvement_points schema</w:t>
            </w:r>
          </w:p>
        </w:tc>
        <w:tc>
          <w:tcPr>
            <w:tcW w:type="dxa" w:w="16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autofix_improvement_points</w:t>
            </w:r>
          </w:p>
        </w:tc>
        <w:tc>
          <w:tcPr>
            <w:tcW w:type="dxa" w:w="12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INVALID_AUTOFIX_SCHEMA</w:t>
            </w:r>
          </w:p>
        </w:tc>
        <w:tc>
          <w:tcPr>
            <w:tcW w:type="dxa" w:w="41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Set autofix_improvement_points = NULL; set autofix_utilization_flag = FALSE; continue processing without autofix data</w:t>
            </w:r>
          </w:p>
        </w:tc>
      </w:tr>
    </w:tbl>
    <w:p>
      <w:pPr>
        <w:spacing w:before="120" w:after="0"/>
      </w:pPr>
      <w:r>
        <w:rPr>
          <w:rFonts w:ascii="Arial" w:cs="Arial" w:eastAsia="Arial" w:hAnsi="Arial"/>
          <w:b w:val="false"/>
          <w:bCs w:val="false"/>
          <w:i w:val="false"/>
          <w:iCs w:val="false"/>
          <w:caps w:val="false"/>
          <w:color w:val="1A202C"/>
          <w:sz w:val="22"/>
          <w:szCs w:val="22"/>
        </w:rPr>
        <w:t xml:space="preserve"/>
      </w:r>
    </w:p>
    <w:p>
      <w:pPr>
        <w:pStyle w:val="Heading2"/>
        <w:spacing w:before="280" w:after="120"/>
      </w:pPr>
      <w:r>
        <w:rPr>
          <w:rFonts w:ascii="Arial" w:cs="Arial" w:eastAsia="Arial" w:hAnsi="Arial"/>
          <w:b/>
          <w:bCs/>
          <w:color w:val="2E5FA3"/>
          <w:sz w:val="28"/>
          <w:szCs w:val="28"/>
        </w:rPr>
        <w:t xml:space="preserve">PII Handling &amp; Data Masking</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Three PII classes govern field handling: PII-High (prompt content — original_prompt, corrected_prompt), PII-Low (identity — user_id, display_name), and Non-PII (all other fields)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PII-High fields are never written to external-facing logs, monitoring dashboards, or alerting payloads — only encrypted pipeline internals and authorized audit systems may access these fields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PII-Low fields are pseudonymized at the serving layer for leadership endpoints using a deterministic, reversible token — the same user always maps to the same token within a session, enabling trend analysis without exposing identity</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Masking is enforced at the serving layer gateway, not within the data store — raw data stores retain original values for authorized pipeline processing and audit purposes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Any new field added to the schema must be assigned a PII class before it may be deployed to production — unclassified fields are rejected by the schema registry</w:t>
      </w:r>
    </w:p>
    <w:p>
      <w:pPr>
        <w:spacing w:before="100" w:after="0"/>
      </w:pPr>
      <w:r>
        <w:rPr>
          <w:rFonts w:ascii="Arial" w:cs="Arial" w:eastAsia="Arial" w:hAnsi="Arial"/>
          <w:b w:val="false"/>
          <w:bCs w:val="false"/>
          <w:i w:val="false"/>
          <w:iCs w:val="false"/>
          <w:caps w:val="false"/>
          <w:color w:val="1A202C"/>
          <w:sz w:val="22"/>
          <w:szCs w:val="22"/>
        </w:rPr>
        <w:t xml:space="preserve"/>
      </w:r>
    </w:p>
    <w:p>
      <w:pPr>
        <w:pStyle w:val="Heading2"/>
        <w:spacing w:before="280" w:after="120"/>
      </w:pPr>
      <w:r>
        <w:rPr>
          <w:rFonts w:ascii="Arial" w:cs="Arial" w:eastAsia="Arial" w:hAnsi="Arial"/>
          <w:b/>
          <w:bCs/>
          <w:color w:val="2E5FA3"/>
          <w:sz w:val="28"/>
          <w:szCs w:val="28"/>
        </w:rPr>
        <w:t xml:space="preserve">Data Retention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500"/>
        <w:gridCol w:w="2860"/>
      </w:tblGrid>
      <w:tr>
        <w:trPr>
          <w:tblHeader/>
        </w:trPr>
        <w:tc>
          <w:tcPr>
            <w:tcW w:type="dxa" w:w="2000"/>
            <w:tcBorders>
              <w:top w:val="single" w:color="2E7D5E" w:sz="4"/>
              <w:left w:val="single" w:color="2E7D5E" w:sz="4"/>
              <w:bottom w:val="single" w:color="2E7D5E" w:sz="4"/>
              <w:right w:val="single" w:color="2E7D5E" w:sz="4"/>
            </w:tcBorders>
            <w:shd w:fill="2E7D5E"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Data Class</w:t>
            </w:r>
          </w:p>
        </w:tc>
        <w:tc>
          <w:tcPr>
            <w:tcW w:type="dxa" w:w="3000"/>
            <w:tcBorders>
              <w:top w:val="single" w:color="2E7D5E" w:sz="4"/>
              <w:left w:val="single" w:color="2E7D5E" w:sz="4"/>
              <w:bottom w:val="single" w:color="2E7D5E" w:sz="4"/>
              <w:right w:val="single" w:color="2E7D5E" w:sz="4"/>
            </w:tcBorders>
            <w:shd w:fill="2E7D5E"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Fields</w:t>
            </w:r>
          </w:p>
        </w:tc>
        <w:tc>
          <w:tcPr>
            <w:tcW w:type="dxa" w:w="1500"/>
            <w:tcBorders>
              <w:top w:val="single" w:color="2E7D5E" w:sz="4"/>
              <w:left w:val="single" w:color="2E7D5E" w:sz="4"/>
              <w:bottom w:val="single" w:color="2E7D5E" w:sz="4"/>
              <w:right w:val="single" w:color="2E7D5E" w:sz="4"/>
            </w:tcBorders>
            <w:shd w:fill="2E7D5E"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Retention Period</w:t>
            </w:r>
          </w:p>
        </w:tc>
        <w:tc>
          <w:tcPr>
            <w:tcW w:type="dxa" w:w="2860"/>
            <w:tcBorders>
              <w:top w:val="single" w:color="2E7D5E" w:sz="4"/>
              <w:left w:val="single" w:color="2E7D5E" w:sz="4"/>
              <w:bottom w:val="single" w:color="2E7D5E" w:sz="4"/>
              <w:right w:val="single" w:color="2E7D5E" w:sz="4"/>
            </w:tcBorders>
            <w:shd w:fill="2E7D5E"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Deletion Method</w:t>
            </w:r>
          </w:p>
        </w:tc>
      </w:tr>
      <w:tr>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PII-High</w:t>
            </w:r>
          </w:p>
        </w:tc>
        <w:tc>
          <w:tcPr>
            <w:tcW w:type="dxa" w:w="3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original_prompt, corrected_prompt</w:t>
            </w:r>
          </w:p>
        </w:tc>
        <w:tc>
          <w:tcPr>
            <w:tcW w:type="dxa" w:w="15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24 months from event_timestamp</w:t>
            </w:r>
          </w:p>
        </w:tc>
        <w:tc>
          <w:tcPr>
            <w:tcW w:type="dxa" w:w="28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Hard delete from all stores; audit log entry written on deletion</w:t>
            </w:r>
          </w:p>
        </w:tc>
      </w:tr>
      <w:tr>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PII-Low</w:t>
            </w:r>
          </w:p>
        </w:tc>
        <w:tc>
          <w:tcPr>
            <w:tcW w:type="dxa" w:w="3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user_id, display_name</w:t>
            </w:r>
          </w:p>
        </w:tc>
        <w:tc>
          <w:tcPr>
            <w:tcW w:type="dxa" w:w="15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60 months from event_timestamp</w:t>
            </w:r>
          </w:p>
        </w:tc>
        <w:tc>
          <w:tcPr>
            <w:tcW w:type="dxa" w:w="28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Hard delete; associated Non-PII records are retained with user_id replaced by DELETED_USER token</w:t>
            </w:r>
          </w:p>
        </w:tc>
      </w:tr>
      <w:tr>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Non-PII (transaction)</w:t>
            </w:r>
          </w:p>
        </w:tc>
        <w:tc>
          <w:tcPr>
            <w:tcW w:type="dxa" w:w="3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All other enriched_events fields</w:t>
            </w:r>
          </w:p>
        </w:tc>
        <w:tc>
          <w:tcPr>
            <w:tcW w:type="dxa" w:w="15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60 months from event_timestamp</w:t>
            </w:r>
          </w:p>
        </w:tc>
        <w:tc>
          <w:tcPr>
            <w:tcW w:type="dxa" w:w="28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Archive to cold storage at 24 months; delete at 60 months</w:t>
            </w:r>
          </w:p>
        </w:tc>
      </w:tr>
      <w:tr>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Aggregated intelligence</w:t>
            </w:r>
          </w:p>
        </w:tc>
        <w:tc>
          <w:tcPr>
            <w:tcW w:type="dxa" w:w="3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weekly_intelligence_records, leaderboard_records</w:t>
            </w:r>
          </w:p>
        </w:tc>
        <w:tc>
          <w:tcPr>
            <w:tcW w:type="dxa" w:w="15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60 months from week_start_date</w:t>
            </w:r>
          </w:p>
        </w:tc>
        <w:tc>
          <w:tcPr>
            <w:tcW w:type="dxa" w:w="28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Archive to cold storage at 24 months; delete at 60 months</w:t>
            </w:r>
          </w:p>
        </w:tc>
      </w:tr>
      <w:tr>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Prompt library</w:t>
            </w:r>
          </w:p>
        </w:tc>
        <w:tc>
          <w:tcPr>
            <w:tcW w:type="dxa" w:w="3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prompt_library_records</w:t>
            </w:r>
          </w:p>
        </w:tc>
        <w:tc>
          <w:tcPr>
            <w:tcW w:type="dxa" w:w="15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Indefinite while active; deleted when retired by curator</w:t>
            </w:r>
          </w:p>
        </w:tc>
        <w:tc>
          <w:tcPr>
            <w:tcW w:type="dxa" w:w="28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Soft delete with retired_at timestamp; hard delete after 90-day grace period</w:t>
            </w:r>
          </w:p>
        </w:tc>
      </w:tr>
      <w:tr>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Dead-letter events</w:t>
            </w:r>
          </w:p>
        </w:tc>
        <w:tc>
          <w:tcPr>
            <w:tcW w:type="dxa" w:w="3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dead_letter_events</w:t>
            </w:r>
          </w:p>
        </w:tc>
        <w:tc>
          <w:tcPr>
            <w:tcW w:type="dxa" w:w="15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90 days</w:t>
            </w:r>
          </w:p>
        </w:tc>
        <w:tc>
          <w:tcPr>
            <w:tcW w:type="dxa" w:w="28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Hard delete after 90-day investigation window; export to audit archive on deletion</w:t>
            </w:r>
          </w:p>
        </w:tc>
      </w:tr>
    </w:tbl>
    <w:p>
      <w:pPr>
        <w:spacing w:before="120" w:after="0"/>
      </w:pPr>
      <w:r>
        <w:rPr>
          <w:rFonts w:ascii="Arial" w:cs="Arial" w:eastAsia="Arial" w:hAnsi="Arial"/>
          <w:b w:val="false"/>
          <w:bCs w:val="false"/>
          <w:i w:val="false"/>
          <w:iCs w:val="false"/>
          <w:caps w:val="false"/>
          <w:color w:val="1A202C"/>
          <w:sz w:val="22"/>
          <w:szCs w:val="22"/>
        </w:rPr>
        <w:t xml:space="preserve"/>
      </w:r>
    </w:p>
    <w:p>
      <w:pPr>
        <w:pStyle w:val="Heading2"/>
        <w:spacing w:before="280" w:after="120"/>
      </w:pPr>
      <w:r>
        <w:rPr>
          <w:rFonts w:ascii="Arial" w:cs="Arial" w:eastAsia="Arial" w:hAnsi="Arial"/>
          <w:b/>
          <w:bCs/>
          <w:color w:val="2E5FA3"/>
          <w:sz w:val="28"/>
          <w:szCs w:val="28"/>
        </w:rPr>
        <w:t xml:space="preserve">Alerting &amp; Monitoring Rules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All alerts must include: alert_code, affected_stage, event_count, time_window, and a suggested investigation step — alerts without investigation guidance must not be deployed</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P1 alerts (pipeline-stopping) page on-call immediately; P2 alerts (quality degradation) notify the data engineering team within 30 minutes; P3 alerts (monitoring signals) are reviewed in the daily ops review</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Dead-letter volume is the primary health signal for the ingestion stage — a sustained rate above 1% of total event volume for more than 15 minutes constitutes a P2 alert</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Scoring engine defects (SCORE_OUT_OF_RANGE) are always P1 — even a single occurrence indicates a model or configuration issue that could corrupt KPI calculations</w:t>
      </w:r>
    </w:p>
    <w:p>
      <w:pPr>
        <w:spacing w:before="80" w:after="0"/>
      </w:pPr>
      <w:r>
        <w:rPr>
          <w:rFonts w:ascii="Arial" w:cs="Arial" w:eastAsia="Arial" w:hAnsi="Arial"/>
          <w:b w:val="false"/>
          <w:bCs w:val="false"/>
          <w:i w:val="false"/>
          <w:iCs w:val="false"/>
          <w:cap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3000"/>
        <w:gridCol w:w="3760"/>
      </w:tblGrid>
      <w:tr>
        <w:trPr>
          <w:tblHeader/>
        </w:trPr>
        <w:tc>
          <w:tcPr>
            <w:tcW w:type="dxa" w:w="2000"/>
            <w:tcBorders>
              <w:top w:val="single" w:color="2E7D5E" w:sz="4"/>
              <w:left w:val="single" w:color="2E7D5E" w:sz="4"/>
              <w:bottom w:val="single" w:color="2E7D5E" w:sz="4"/>
              <w:right w:val="single" w:color="2E7D5E" w:sz="4"/>
            </w:tcBorders>
            <w:shd w:fill="2E7D5E"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Alert Name</w:t>
            </w:r>
          </w:p>
        </w:tc>
        <w:tc>
          <w:tcPr>
            <w:tcW w:type="dxa" w:w="600"/>
            <w:tcBorders>
              <w:top w:val="single" w:color="2E7D5E" w:sz="4"/>
              <w:left w:val="single" w:color="2E7D5E" w:sz="4"/>
              <w:bottom w:val="single" w:color="2E7D5E" w:sz="4"/>
              <w:right w:val="single" w:color="2E7D5E" w:sz="4"/>
            </w:tcBorders>
            <w:shd w:fill="2E7D5E"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Severity</w:t>
            </w:r>
          </w:p>
        </w:tc>
        <w:tc>
          <w:tcPr>
            <w:tcW w:type="dxa" w:w="3000"/>
            <w:tcBorders>
              <w:top w:val="single" w:color="2E7D5E" w:sz="4"/>
              <w:left w:val="single" w:color="2E7D5E" w:sz="4"/>
              <w:bottom w:val="single" w:color="2E7D5E" w:sz="4"/>
              <w:right w:val="single" w:color="2E7D5E" w:sz="4"/>
            </w:tcBorders>
            <w:shd w:fill="2E7D5E"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Trigger Condition</w:t>
            </w:r>
          </w:p>
        </w:tc>
        <w:tc>
          <w:tcPr>
            <w:tcW w:type="dxa" w:w="3760"/>
            <w:tcBorders>
              <w:top w:val="single" w:color="2E7D5E" w:sz="4"/>
              <w:left w:val="single" w:color="2E7D5E" w:sz="4"/>
              <w:bottom w:val="single" w:color="2E7D5E" w:sz="4"/>
              <w:right w:val="single" w:color="2E7D5E" w:sz="4"/>
            </w:tcBorders>
            <w:shd w:fill="2E7D5E"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Response</w:t>
            </w:r>
          </w:p>
        </w:tc>
      </w:tr>
      <w:tr>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INGESTION_DEAD_LETTER_HIGH</w:t>
            </w:r>
          </w:p>
        </w:tc>
        <w:tc>
          <w:tcPr>
            <w:tcW w:type="dxa" w:w="6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P2</w:t>
            </w:r>
          </w:p>
        </w:tc>
        <w:tc>
          <w:tcPr>
            <w:tcW w:type="dxa" w:w="3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dead_letter_events count &gt; 1% of hourly event volume for 15+ minutes</w:t>
            </w:r>
          </w:p>
        </w:tc>
        <w:tc>
          <w:tcPr>
            <w:tcW w:type="dxa" w:w="37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Notify data eng team; review dead_letter_events for error_reason distribution; escalate to P1 if rate exceeds 5%</w:t>
            </w:r>
          </w:p>
        </w:tc>
      </w:tr>
      <w:tr>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SCORE_OUT_OF_RANGE</w:t>
            </w:r>
          </w:p>
        </w:tc>
        <w:tc>
          <w:tcPr>
            <w:tcW w:type="dxa" w:w="6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P1</w:t>
            </w:r>
          </w:p>
        </w:tc>
        <w:tc>
          <w:tcPr>
            <w:tcW w:type="dxa" w:w="3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Any enriched_events record with validation_score outside 0.00–10.00</w:t>
            </w:r>
          </w:p>
        </w:tc>
        <w:tc>
          <w:tcPr>
            <w:tcW w:type="dxa" w:w="37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Page on-call immediately; quarantine scoring engine output; halt aggregation stage until resolved</w:t>
            </w:r>
          </w:p>
        </w:tc>
      </w:tr>
      <w:tr>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PIPELINE_STAGE_LATENCY_BREACH</w:t>
            </w:r>
          </w:p>
        </w:tc>
        <w:tc>
          <w:tcPr>
            <w:tcW w:type="dxa" w:w="6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P2</w:t>
            </w:r>
          </w:p>
        </w:tc>
        <w:tc>
          <w:tcPr>
            <w:tcW w:type="dxa" w:w="3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Any stage exceeds its p99 SLA for 5+ consecutive minutes</w:t>
            </w:r>
          </w:p>
        </w:tc>
        <w:tc>
          <w:tcPr>
            <w:tcW w:type="dxa" w:w="37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Notify data eng team; inspect stage queue depth; scale if resource-bound</w:t>
            </w:r>
          </w:p>
        </w:tc>
      </w:tr>
      <w:tr>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WEEKLY_BATCH_FAILURE</w:t>
            </w:r>
          </w:p>
        </w:tc>
        <w:tc>
          <w:tcPr>
            <w:tcW w:type="dxa" w:w="6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P1</w:t>
            </w:r>
          </w:p>
        </w:tc>
        <w:tc>
          <w:tcPr>
            <w:tcW w:type="dxa" w:w="3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weekly_intelligence_records for current week_start_date not fully populated by Monday 04:00 UTC</w:t>
            </w:r>
          </w:p>
        </w:tc>
        <w:tc>
          <w:tcPr>
            <w:tcW w:type="dxa" w:w="37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Page on-call; trigger manual batch re-run; notify stakeholders if user summaries will be delayed</w:t>
            </w:r>
          </w:p>
        </w:tc>
      </w:tr>
      <w:tr>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INTERVENTION_FLAG_SPIKE</w:t>
            </w:r>
          </w:p>
        </w:tc>
        <w:tc>
          <w:tcPr>
            <w:tcW w:type="dxa" w:w="6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P3</w:t>
            </w:r>
          </w:p>
        </w:tc>
        <w:tc>
          <w:tcPr>
            <w:tcW w:type="dxa" w:w="3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intervention_flag = TRUE count increases by &gt; 20% week-over-week</w:t>
            </w:r>
          </w:p>
        </w:tc>
        <w:tc>
          <w:tcPr>
            <w:tcW w:type="dxa" w:w="37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Notify CoE; review team_id distribution of flagged users; investigate whether a training program is needed</w:t>
            </w:r>
          </w:p>
        </w:tc>
      </w:tr>
      <w:tr>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RETENTION_DELETE_FAILURE</w:t>
            </w:r>
          </w:p>
        </w:tc>
        <w:tc>
          <w:tcPr>
            <w:tcW w:type="dxa" w:w="6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P2</w:t>
            </w:r>
          </w:p>
        </w:tc>
        <w:tc>
          <w:tcPr>
            <w:tcW w:type="dxa" w:w="3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Scheduled retention delete job fails or completes with non-zero error count</w:t>
            </w:r>
          </w:p>
        </w:tc>
        <w:tc>
          <w:tcPr>
            <w:tcW w:type="dxa" w:w="37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Notify data eng team and privacy officer; investigate and re-run within 24 hours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4"/>
              <w:left w:val="single" w:color="C8922A" w:sz="4"/>
              <w:bottom w:val="single" w:color="C8922A" w:sz="4"/>
              <w:right w:val="single" w:color="C8922A" w:sz="4"/>
            </w:tcBorders>
            <w:shd w:fill="C8922A" w:val="clear"/>
            <w:tcMar>
              <w:top w:type="dxa" w:w="80"/>
              <w:left w:type="dxa" w:w="120"/>
              <w:bottom w:type="dxa" w:w="80"/>
              <w:right w:type="dxa" w:w="120"/>
            </w:tcMar>
            <w:vAlign w:val="top"/>
          </w:tcPr>
          <w:p>
            <w:pPr>
              <w:spacing w:before="60" w:after="60"/>
            </w:pPr>
            <w:r>
              <w:rPr>
                <w:rFonts w:ascii="Arial" w:cs="Arial" w:eastAsia="Arial" w:hAnsi="Arial"/>
                <w:b/>
                <w:bCs/>
                <w:caps/>
                <w:color w:val="C8922A"/>
                <w:sz w:val="18"/>
                <w:szCs w:val="18"/>
              </w:rPr>
              <w:t xml:space="preserve">SECTION 7  </w:t>
            </w:r>
            <w:r>
              <w:rPr>
                <w:rFonts w:ascii="Arial" w:cs="Arial" w:eastAsia="Arial" w:hAnsi="Arial"/>
                <w:b/>
                <w:bCs/>
                <w:caps/>
                <w:color w:val="FFFFFF"/>
                <w:sz w:val="18"/>
                <w:szCs w:val="18"/>
              </w:rPr>
              <w:t xml:space="preserve">KPI MEASUREMENT FRAMEWORK</w:t>
            </w:r>
          </w:p>
        </w:tc>
      </w:tr>
    </w:tbl>
    <w:p>
      <w:pPr>
        <w:spacing w:before="80" w:after="0"/>
      </w:pPr>
      <w:r>
        <w:rPr>
          <w:rFonts w:ascii="Arial" w:cs="Arial" w:eastAsia="Arial" w:hAnsi="Arial"/>
          <w:b w:val="false"/>
          <w:bCs w:val="false"/>
          <w:i w:val="false"/>
          <w:iCs w:val="false"/>
          <w:caps w:val="false"/>
          <w:color w:val="1A202C"/>
          <w:sz w:val="22"/>
          <w:szCs w:val="22"/>
        </w:rPr>
        <w:t xml:space="preserve"/>
      </w:r>
    </w:p>
    <w:p>
      <w:pPr>
        <w:pStyle w:val="Heading1"/>
        <w:pBdr>
          <w:bottom w:val="single" w:color="2E5FA3" w:sz="8" w:space="4"/>
        </w:pBdr>
        <w:spacing w:before="360" w:after="160"/>
      </w:pPr>
      <w:r>
        <w:rPr>
          <w:rFonts w:ascii="Arial" w:cs="Arial" w:eastAsia="Arial" w:hAnsi="Arial"/>
          <w:b/>
          <w:bCs/>
          <w:caps/>
          <w:color w:val="1B3A6B"/>
          <w:sz w:val="36"/>
          <w:szCs w:val="36"/>
        </w:rPr>
        <w:t xml:space="preserve">KPI Measurement Framework</w:t>
      </w:r>
    </w:p>
    <w:p>
      <w:pPr>
        <w:spacing w:before="80" w:after="100"/>
        <w:jc w:val="left"/>
      </w:pPr>
      <w:r>
        <w:rPr>
          <w:rFonts w:ascii="Arial" w:cs="Arial" w:eastAsia="Arial" w:hAnsi="Arial"/>
          <w:b w:val="false"/>
          <w:bCs w:val="false"/>
          <w:i w:val="false"/>
          <w:iCs w:val="false"/>
          <w:caps w:val="false"/>
          <w:color w:val="1A202C"/>
          <w:sz w:val="22"/>
          <w:szCs w:val="22"/>
        </w:rPr>
        <w:t xml:space="preserve">This section defines the exact data-to-KPI mapping for the three business outcomes the Prompt Validator pipeline must support. Each KPI is defined by its calculation, the pipeline fields and tables it draws from, the aggregation window it operates over, and the threshold that constitutes achievement of the business goal.</w:t>
      </w:r>
    </w:p>
    <w:p>
      <w:pPr>
        <w:spacing w:before="80" w:after="100"/>
        <w:jc w:val="left"/>
      </w:pPr>
      <w:r>
        <w:rPr>
          <w:rFonts w:ascii="Arial" w:cs="Arial" w:eastAsia="Arial" w:hAnsi="Arial"/>
          <w:b w:val="false"/>
          <w:bCs w:val="false"/>
          <w:i w:val="false"/>
          <w:iCs w:val="false"/>
          <w:caps w:val="false"/>
          <w:color w:val="1A202C"/>
          <w:sz w:val="22"/>
          <w:szCs w:val="22"/>
        </w:rPr>
        <w:t xml:space="preserve">These definitions are authoritative — any change to a KPI calculation requires a change control process involving the data engineering team, the Center of Excellence, and the data strategy owner.</w:t>
      </w:r>
    </w:p>
    <w:p>
      <w:pPr>
        <w:spacing w:before="100" w:after="0"/>
      </w:pPr>
      <w:r>
        <w:rPr>
          <w:rFonts w:ascii="Arial" w:cs="Arial" w:eastAsia="Arial" w:hAnsi="Arial"/>
          <w:b w:val="false"/>
          <w:bCs w:val="false"/>
          <w:i w:val="false"/>
          <w:iCs w:val="false"/>
          <w:caps w:val="false"/>
          <w:color w:val="1A202C"/>
          <w:sz w:val="22"/>
          <w:szCs w:val="22"/>
        </w:rPr>
        <w:t xml:space="preserve"/>
      </w:r>
    </w:p>
    <w:p>
      <w:pPr>
        <w:pStyle w:val="Heading2"/>
        <w:spacing w:before="280" w:after="120"/>
      </w:pPr>
      <w:r>
        <w:rPr>
          <w:rFonts w:ascii="Arial" w:cs="Arial" w:eastAsia="Arial" w:hAnsi="Arial"/>
          <w:b/>
          <w:bCs/>
          <w:color w:val="2E5FA3"/>
          <w:sz w:val="28"/>
          <w:szCs w:val="28"/>
        </w:rPr>
        <w:t xml:space="preserve">KPI 1 — AI Adoption</w:t>
      </w:r>
    </w:p>
    <w:p>
      <w:pPr>
        <w:pStyle w:val="Heading3"/>
        <w:spacing w:before="200" w:after="80"/>
      </w:pPr>
      <w:r>
        <w:rPr>
          <w:rFonts w:ascii="Arial" w:cs="Arial" w:eastAsia="Arial" w:hAnsi="Arial"/>
          <w:b/>
          <w:bCs/>
          <w:color w:val="1F7A8C"/>
          <w:sz w:val="24"/>
          <w:szCs w:val="24"/>
        </w:rPr>
        <w:t xml:space="preserve">Business Goal: Measure the rate and depth of active AI tool usage across the organization</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Adoption is measured at three granularities: individual (did this user submit at least one prompt this week?), team (what percentage of the team was active?), and organization (total active users as a percentage of total enrolled users)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The primary adoption metric is Weekly Active User Rate (WAUR) — calculated as active_users_this_week / total_enrolled_users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Channel-level adoption is tracked separately per delivery_channel enum value to measure Phase rollout progress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Adoption is considered achieved for a user when they have been weekly_active_user_flag = TRUE for 4 or more of the last 6 weeks — this defines embedded adoption vs. trial usage</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The org_ai_readiness_score (calculated in Stage 3 aggregation) incorporates adoption_rate as a 35% weighted component</w:t>
      </w:r>
    </w:p>
    <w:p>
      <w:pPr>
        <w:spacing w:before="80" w:after="0"/>
      </w:pPr>
      <w:r>
        <w:rPr>
          <w:rFonts w:ascii="Arial" w:cs="Arial" w:eastAsia="Arial" w:hAnsi="Arial"/>
          <w:b w:val="false"/>
          <w:bCs w:val="false"/>
          <w:i w:val="false"/>
          <w:iCs w:val="false"/>
          <w:cap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960"/>
        <w:gridCol w:w="2000"/>
      </w:tblGrid>
      <w:tr>
        <w:trPr>
          <w:tblHeader/>
        </w:trPr>
        <w:tc>
          <w:tcPr>
            <w:tcW w:type="dxa" w:w="2000"/>
            <w:tcBorders>
              <w:top w:val="single" w:color="C8922A" w:sz="4"/>
              <w:left w:val="single" w:color="C8922A" w:sz="4"/>
              <w:bottom w:val="single" w:color="C8922A" w:sz="4"/>
              <w:right w:val="single" w:color="C8922A" w:sz="4"/>
            </w:tcBorders>
            <w:shd w:fill="C8922A"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Metric</w:t>
            </w:r>
          </w:p>
        </w:tc>
        <w:tc>
          <w:tcPr>
            <w:tcW w:type="dxa" w:w="2400"/>
            <w:tcBorders>
              <w:top w:val="single" w:color="C8922A" w:sz="4"/>
              <w:left w:val="single" w:color="C8922A" w:sz="4"/>
              <w:bottom w:val="single" w:color="C8922A" w:sz="4"/>
              <w:right w:val="single" w:color="C8922A" w:sz="4"/>
            </w:tcBorders>
            <w:shd w:fill="C8922A"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Source Table / Fields</w:t>
            </w:r>
          </w:p>
        </w:tc>
        <w:tc>
          <w:tcPr>
            <w:tcW w:type="dxa" w:w="2960"/>
            <w:tcBorders>
              <w:top w:val="single" w:color="C8922A" w:sz="4"/>
              <w:left w:val="single" w:color="C8922A" w:sz="4"/>
              <w:bottom w:val="single" w:color="C8922A" w:sz="4"/>
              <w:right w:val="single" w:color="C8922A" w:sz="4"/>
            </w:tcBorders>
            <w:shd w:fill="C8922A"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Calculation</w:t>
            </w:r>
          </w:p>
        </w:tc>
        <w:tc>
          <w:tcPr>
            <w:tcW w:type="dxa" w:w="2000"/>
            <w:tcBorders>
              <w:top w:val="single" w:color="C8922A" w:sz="4"/>
              <w:left w:val="single" w:color="C8922A" w:sz="4"/>
              <w:bottom w:val="single" w:color="C8922A" w:sz="4"/>
              <w:right w:val="single" w:color="C8922A" w:sz="4"/>
            </w:tcBorders>
            <w:shd w:fill="C8922A"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Target</w:t>
            </w:r>
          </w:p>
        </w:tc>
      </w:tr>
      <w:tr>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Weekly Active User Rate (WAUR)</w:t>
            </w:r>
          </w:p>
        </w:tc>
        <w:tc>
          <w:tcPr>
            <w:tcW w:type="dxa" w:w="24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weekly_intelligence_records.weekly_active_user_flag</w:t>
            </w:r>
          </w:p>
        </w:tc>
        <w:tc>
          <w:tcPr>
            <w:tcW w:type="dxa" w:w="29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COUNT(user_id WHERE weekly_active_user_flag = TRUE) / COUNT(DISTINCT enrolled_user_id) × 100</w:t>
            </w:r>
          </w:p>
        </w:tc>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80% of enrolled users active weekly by month 6 post-launch</w:t>
            </w:r>
          </w:p>
        </w:tc>
      </w:tr>
      <w:tr>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Channel Adoption Rate</w:t>
            </w:r>
          </w:p>
        </w:tc>
        <w:tc>
          <w:tcPr>
            <w:tcW w:type="dxa" w:w="24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enriched_events.delivery_channel</w:t>
            </w:r>
          </w:p>
        </w:tc>
        <w:tc>
          <w:tcPr>
            <w:tcW w:type="dxa" w:w="29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COUNT(DISTINCT user_id WHERE delivery_channel = X) / total_enrolled × 100 — computed per channel value</w:t>
            </w:r>
          </w:p>
        </w:tc>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Phase 1: 80% of users via API by month 3; Phase 2: 40% via MCP by month 6 post-Phase 2 launch</w:t>
            </w:r>
          </w:p>
        </w:tc>
      </w:tr>
      <w:tr>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Embedded Adoption Rate</w:t>
            </w:r>
          </w:p>
        </w:tc>
        <w:tc>
          <w:tcPr>
            <w:tcW w:type="dxa" w:w="24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weekly_intelligence_records.weekly_active_user_flag</w:t>
            </w:r>
          </w:p>
        </w:tc>
        <w:tc>
          <w:tcPr>
            <w:tcW w:type="dxa" w:w="29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COUNT(user_id WHERE SUM(weekly_active_user_flag = TRUE) &gt;= 4 of last 6 weeks) / total_enrolled × 100</w:t>
            </w:r>
          </w:p>
        </w:tc>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50% of enrolled users showing embedded adoption by month 9</w:t>
            </w:r>
          </w:p>
        </w:tc>
      </w:tr>
      <w:tr>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Engagement Depth</w:t>
            </w:r>
          </w:p>
        </w:tc>
        <w:tc>
          <w:tcPr>
            <w:tcW w:type="dxa" w:w="24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enriched_events per user_id per week</w:t>
            </w:r>
          </w:p>
        </w:tc>
        <w:tc>
          <w:tcPr>
            <w:tcW w:type="dxa" w:w="29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AVG(events per weekly_active_user per week)</w:t>
            </w:r>
          </w:p>
        </w:tc>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Avg of 10+ prompt submissions per active user per week by month 6</w:t>
            </w:r>
          </w:p>
        </w:tc>
      </w:tr>
    </w:tbl>
    <w:p>
      <w:pPr>
        <w:spacing w:before="120" w:after="0"/>
      </w:pPr>
      <w:r>
        <w:rPr>
          <w:rFonts w:ascii="Arial" w:cs="Arial" w:eastAsia="Arial" w:hAnsi="Arial"/>
          <w:b w:val="false"/>
          <w:bCs w:val="false"/>
          <w:i w:val="false"/>
          <w:iCs w:val="false"/>
          <w:caps w:val="false"/>
          <w:color w:val="1A202C"/>
          <w:sz w:val="22"/>
          <w:szCs w:val="22"/>
        </w:rPr>
        <w:t xml:space="preserve"/>
      </w:r>
    </w:p>
    <w:p>
      <w:pPr>
        <w:pStyle w:val="Heading2"/>
        <w:spacing w:before="280" w:after="120"/>
      </w:pPr>
      <w:r>
        <w:rPr>
          <w:rFonts w:ascii="Arial" w:cs="Arial" w:eastAsia="Arial" w:hAnsi="Arial"/>
          <w:b/>
          <w:bCs/>
          <w:color w:val="2E5FA3"/>
          <w:sz w:val="28"/>
          <w:szCs w:val="28"/>
        </w:rPr>
        <w:t xml:space="preserve">KPI 2 — AI Literacy</w:t>
      </w:r>
    </w:p>
    <w:p>
      <w:pPr>
        <w:pStyle w:val="Heading3"/>
        <w:spacing w:before="200" w:after="80"/>
      </w:pPr>
      <w:r>
        <w:rPr>
          <w:rFonts w:ascii="Arial" w:cs="Arial" w:eastAsia="Arial" w:hAnsi="Arial"/>
          <w:b/>
          <w:bCs/>
          <w:color w:val="1F7A8C"/>
          <w:sz w:val="24"/>
          <w:szCs w:val="24"/>
        </w:rPr>
        <w:t xml:space="preserve">Business Goal: Measure individual and team improvement in prompt quality over time</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AI Literacy is the primary human-development KPI — it measures not just whether people use the tool, but whether using it makes them demonstrably better at writing prompts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The core literacy signal is learning_velocity (EWMA over 4 weeks) — a positive velocity for an individual means they are improving; a positive velocity for a team means the team is collectively getting better</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Literacy achievement at the individual level is defined as: validation_score &gt;= 7.5 AND learning_velocity &gt; 0.0 for 4 or more consecutive weeks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Suggestion count reduction is a secondary literacy signal — as users internalize feedback, suggestion_count should trend downward over time independent of score</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The CoE Training Effectiveness Signal compares learning_velocity pre-training vs. post-training for cohorts who completed a specific training program — this directly ties program investment to measurable literacy outcomes</w:t>
      </w:r>
    </w:p>
    <w:p>
      <w:pPr>
        <w:spacing w:before="80" w:after="0"/>
      </w:pPr>
      <w:r>
        <w:rPr>
          <w:rFonts w:ascii="Arial" w:cs="Arial" w:eastAsia="Arial" w:hAnsi="Arial"/>
          <w:b w:val="false"/>
          <w:bCs w:val="false"/>
          <w:i w:val="false"/>
          <w:iCs w:val="false"/>
          <w:cap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960"/>
        <w:gridCol w:w="2000"/>
      </w:tblGrid>
      <w:tr>
        <w:trPr>
          <w:tblHeader/>
        </w:trPr>
        <w:tc>
          <w:tcPr>
            <w:tcW w:type="dxa" w:w="2000"/>
            <w:tcBorders>
              <w:top w:val="single" w:color="C8922A" w:sz="4"/>
              <w:left w:val="single" w:color="C8922A" w:sz="4"/>
              <w:bottom w:val="single" w:color="C8922A" w:sz="4"/>
              <w:right w:val="single" w:color="C8922A" w:sz="4"/>
            </w:tcBorders>
            <w:shd w:fill="C8922A"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Metric</w:t>
            </w:r>
          </w:p>
        </w:tc>
        <w:tc>
          <w:tcPr>
            <w:tcW w:type="dxa" w:w="2400"/>
            <w:tcBorders>
              <w:top w:val="single" w:color="C8922A" w:sz="4"/>
              <w:left w:val="single" w:color="C8922A" w:sz="4"/>
              <w:bottom w:val="single" w:color="C8922A" w:sz="4"/>
              <w:right w:val="single" w:color="C8922A" w:sz="4"/>
            </w:tcBorders>
            <w:shd w:fill="C8922A"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Source Table / Fields</w:t>
            </w:r>
          </w:p>
        </w:tc>
        <w:tc>
          <w:tcPr>
            <w:tcW w:type="dxa" w:w="2960"/>
            <w:tcBorders>
              <w:top w:val="single" w:color="C8922A" w:sz="4"/>
              <w:left w:val="single" w:color="C8922A" w:sz="4"/>
              <w:bottom w:val="single" w:color="C8922A" w:sz="4"/>
              <w:right w:val="single" w:color="C8922A" w:sz="4"/>
            </w:tcBorders>
            <w:shd w:fill="C8922A"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Calculation</w:t>
            </w:r>
          </w:p>
        </w:tc>
        <w:tc>
          <w:tcPr>
            <w:tcW w:type="dxa" w:w="2000"/>
            <w:tcBorders>
              <w:top w:val="single" w:color="C8922A" w:sz="4"/>
              <w:left w:val="single" w:color="C8922A" w:sz="4"/>
              <w:bottom w:val="single" w:color="C8922A" w:sz="4"/>
              <w:right w:val="single" w:color="C8922A" w:sz="4"/>
            </w:tcBorders>
            <w:shd w:fill="C8922A"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Target</w:t>
            </w:r>
          </w:p>
        </w:tc>
      </w:tr>
      <w:tr>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Learning Velocity (Individual)</w:t>
            </w:r>
          </w:p>
        </w:tc>
        <w:tc>
          <w:tcPr>
            <w:tcW w:type="dxa" w:w="24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aggregated_user_metrics.learning_velocity</w:t>
            </w:r>
          </w:p>
        </w:tc>
        <w:tc>
          <w:tcPr>
            <w:tcW w:type="dxa" w:w="29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EWMA(validation_score, span=4 weeks, min_periods=3) — per user_id</w:t>
            </w:r>
          </w:p>
        </w:tc>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70% of active users show positive learning_velocity by week 8 post-onboarding</w:t>
            </w:r>
          </w:p>
        </w:tc>
      </w:tr>
      <w:tr>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Literacy Achievement Rate</w:t>
            </w:r>
          </w:p>
        </w:tc>
        <w:tc>
          <w:tcPr>
            <w:tcW w:type="dxa" w:w="24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aggregated_user_metrics.validation_score, learning_velocity</w:t>
            </w:r>
          </w:p>
        </w:tc>
        <w:tc>
          <w:tcPr>
            <w:tcW w:type="dxa" w:w="29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COUNT(user_id WHERE validation_score &gt;= 7.5 AND consecutive_positive_velocity_weeks &gt;= 4) / active_users × 100</w:t>
            </w:r>
          </w:p>
        </w:tc>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40% of active users achieve literacy threshold by month 6</w:t>
            </w:r>
          </w:p>
        </w:tc>
      </w:tr>
      <w:tr>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Suggestion Count Trend</w:t>
            </w:r>
          </w:p>
        </w:tc>
        <w:tc>
          <w:tcPr>
            <w:tcW w:type="dxa" w:w="24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enriched_events.suggestion_count per user_id</w:t>
            </w:r>
          </w:p>
        </w:tc>
        <w:tc>
          <w:tcPr>
            <w:tcW w:type="dxa" w:w="29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Linear regression slope of suggestion_count over 8-week rolling window per user — negative slope = improvement</w:t>
            </w:r>
          </w:p>
        </w:tc>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Negative slope in 60% of active users by month 4</w:t>
            </w:r>
          </w:p>
        </w:tc>
      </w:tr>
      <w:tr>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Training Effectiveness Signal</w:t>
            </w:r>
          </w:p>
        </w:tc>
        <w:tc>
          <w:tcPr>
            <w:tcW w:type="dxa" w:w="24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aggregated_user_metrics.learning_velocity grouped by training_cohort_id</w:t>
            </w:r>
          </w:p>
        </w:tc>
        <w:tc>
          <w:tcPr>
            <w:tcW w:type="dxa" w:w="29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AVG(learning_velocity) for cohort in 4 weeks POST training MINUS AVG(learning_velocity) for cohort in 4 weeks PRE training</w:t>
            </w:r>
          </w:p>
        </w:tc>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Statistically significant positive delta (p &lt; 0.05) for each training intervention within 30 days of completion</w:t>
            </w:r>
          </w:p>
        </w:tc>
      </w:tr>
      <w:tr>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Team Literacy Score</w:t>
            </w:r>
          </w:p>
        </w:tc>
        <w:tc>
          <w:tcPr>
            <w:tcW w:type="dxa" w:w="24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aggregated_team_metrics.team_avg_score</w:t>
            </w:r>
          </w:p>
        </w:tc>
        <w:tc>
          <w:tcPr>
            <w:tcW w:type="dxa" w:w="29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AVG(validation_score) for all weekly_active users in team_id — P5/P95 outlier capped</w:t>
            </w:r>
          </w:p>
        </w:tc>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Organization-wide team average &gt;= 7.0 by month 9</w:t>
            </w:r>
          </w:p>
        </w:tc>
      </w:tr>
    </w:tbl>
    <w:p>
      <w:pPr>
        <w:spacing w:before="120" w:after="0"/>
      </w:pPr>
      <w:r>
        <w:rPr>
          <w:rFonts w:ascii="Arial" w:cs="Arial" w:eastAsia="Arial" w:hAnsi="Arial"/>
          <w:b w:val="false"/>
          <w:bCs w:val="false"/>
          <w:i w:val="false"/>
          <w:iCs w:val="false"/>
          <w:caps w:val="false"/>
          <w:color w:val="1A202C"/>
          <w:sz w:val="22"/>
          <w:szCs w:val="22"/>
        </w:rPr>
        <w:t xml:space="preserve"/>
      </w:r>
    </w:p>
    <w:p>
      <w:pPr>
        <w:pStyle w:val="Heading2"/>
        <w:spacing w:before="280" w:after="120"/>
      </w:pPr>
      <w:r>
        <w:rPr>
          <w:rFonts w:ascii="Arial" w:cs="Arial" w:eastAsia="Arial" w:hAnsi="Arial"/>
          <w:b/>
          <w:bCs/>
          <w:color w:val="2E5FA3"/>
          <w:sz w:val="28"/>
          <w:szCs w:val="28"/>
        </w:rPr>
        <w:t xml:space="preserve">KPI 3 — AI-Based Optimization</w:t>
      </w:r>
    </w:p>
    <w:p>
      <w:pPr>
        <w:pStyle w:val="Heading3"/>
        <w:spacing w:before="200" w:after="80"/>
      </w:pPr>
      <w:r>
        <w:rPr>
          <w:rFonts w:ascii="Arial" w:cs="Arial" w:eastAsia="Arial" w:hAnsi="Arial"/>
          <w:b/>
          <w:bCs/>
          <w:color w:val="1F7A8C"/>
          <w:sz w:val="24"/>
          <w:szCs w:val="24"/>
        </w:rPr>
        <w:t xml:space="preserve">Business Goal: Measure the contribution of AI-augmented work to delivery quality and client value</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AI-Based Optimization is the most strategically significant KPI — it connects prompt quality data to the delivery outcomes that matter to Infovision's clients</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The primary mechanism is SDLC correlation: team-level prompt quality scores are correlated with delivery quality metrics sourced from the SDLC tracking system (defect rate, requirements stability, code review pass rate)</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The Prompt Library Growth Rate measures how quickly validated best practices are being converted into reusable organizational assets — library growth indicates the system is producing compounding value</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Org AI Readiness Score (calculated in Stage 3) is the composite optimization metric that leadership tracks quarterly — it combines adoption, literacy, and quality into a single index</w:t>
      </w:r>
    </w:p>
    <w:p>
      <w:pPr>
        <w:pStyle w:val="ListParagraph"/>
        <w:numPr>
          <w:ilvl w:val="0"/>
          <w:numId w:val="2"/>
        </w:numPr>
        <w:spacing w:before="60" w:after="60"/>
      </w:pPr>
      <w:r>
        <w:rPr>
          <w:rFonts w:ascii="Arial" w:cs="Arial" w:eastAsia="Arial" w:hAnsi="Arial"/>
          <w:b w:val="false"/>
          <w:bCs w:val="false"/>
          <w:i w:val="false"/>
          <w:iCs w:val="false"/>
          <w:caps w:val="false"/>
          <w:color w:val="1A202C"/>
          <w:sz w:val="22"/>
          <w:szCs w:val="22"/>
        </w:rPr>
        <w:t xml:space="preserve">Correlation analysis requires a minimum of 8 weeks of paired data (prompt quality data + delivery metrics data) before statistical significance can be assessed — results before this threshold should not be cited as evidence</w:t>
      </w:r>
    </w:p>
    <w:p>
      <w:pPr>
        <w:spacing w:before="80" w:after="0"/>
      </w:pPr>
      <w:r>
        <w:rPr>
          <w:rFonts w:ascii="Arial" w:cs="Arial" w:eastAsia="Arial" w:hAnsi="Arial"/>
          <w:b w:val="false"/>
          <w:bCs w:val="false"/>
          <w:i w:val="false"/>
          <w:iCs w:val="false"/>
          <w:cap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960"/>
        <w:gridCol w:w="2000"/>
      </w:tblGrid>
      <w:tr>
        <w:trPr>
          <w:tblHeader/>
        </w:trPr>
        <w:tc>
          <w:tcPr>
            <w:tcW w:type="dxa" w:w="2000"/>
            <w:tcBorders>
              <w:top w:val="single" w:color="C8922A" w:sz="4"/>
              <w:left w:val="single" w:color="C8922A" w:sz="4"/>
              <w:bottom w:val="single" w:color="C8922A" w:sz="4"/>
              <w:right w:val="single" w:color="C8922A" w:sz="4"/>
            </w:tcBorders>
            <w:shd w:fill="C8922A"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Metric</w:t>
            </w:r>
          </w:p>
        </w:tc>
        <w:tc>
          <w:tcPr>
            <w:tcW w:type="dxa" w:w="2400"/>
            <w:tcBorders>
              <w:top w:val="single" w:color="C8922A" w:sz="4"/>
              <w:left w:val="single" w:color="C8922A" w:sz="4"/>
              <w:bottom w:val="single" w:color="C8922A" w:sz="4"/>
              <w:right w:val="single" w:color="C8922A" w:sz="4"/>
            </w:tcBorders>
            <w:shd w:fill="C8922A"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Source Table / Fields</w:t>
            </w:r>
          </w:p>
        </w:tc>
        <w:tc>
          <w:tcPr>
            <w:tcW w:type="dxa" w:w="2960"/>
            <w:tcBorders>
              <w:top w:val="single" w:color="C8922A" w:sz="4"/>
              <w:left w:val="single" w:color="C8922A" w:sz="4"/>
              <w:bottom w:val="single" w:color="C8922A" w:sz="4"/>
              <w:right w:val="single" w:color="C8922A" w:sz="4"/>
            </w:tcBorders>
            <w:shd w:fill="C8922A"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Calculation</w:t>
            </w:r>
          </w:p>
        </w:tc>
        <w:tc>
          <w:tcPr>
            <w:tcW w:type="dxa" w:w="2000"/>
            <w:tcBorders>
              <w:top w:val="single" w:color="C8922A" w:sz="4"/>
              <w:left w:val="single" w:color="C8922A" w:sz="4"/>
              <w:bottom w:val="single" w:color="C8922A" w:sz="4"/>
              <w:right w:val="single" w:color="C8922A" w:sz="4"/>
            </w:tcBorders>
            <w:shd w:fill="C8922A" w:val="clear"/>
            <w:tcMar>
              <w:top w:type="dxa" w:w="80"/>
              <w:left w:type="dxa" w:w="120"/>
              <w:bottom w:type="dxa" w:w="80"/>
              <w:right w:type="dxa" w:w="120"/>
            </w:tcMar>
            <w:vAlign w:val="top"/>
          </w:tcPr>
          <w:p>
            <w:pPr>
              <w:spacing w:before="60" w:after="60"/>
            </w:pPr>
            <w:r>
              <w:rPr>
                <w:rFonts w:ascii="Arial" w:cs="Arial" w:eastAsia="Arial" w:hAnsi="Arial"/>
                <w:b/>
                <w:bCs/>
                <w:caps w:val="false"/>
                <w:color w:val="FFFFFF"/>
                <w:sz w:val="18"/>
                <w:szCs w:val="18"/>
              </w:rPr>
              <w:t xml:space="preserve">Target</w:t>
            </w:r>
          </w:p>
        </w:tc>
      </w:tr>
      <w:tr>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SDLC Quality Correlation</w:t>
            </w:r>
          </w:p>
        </w:tc>
        <w:tc>
          <w:tcPr>
            <w:tcW w:type="dxa" w:w="24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aggregated_team_metrics.team_avg_score JOIN sdlc_metrics.team_delivery_quality_score (external)</w:t>
            </w:r>
          </w:p>
        </w:tc>
        <w:tc>
          <w:tcPr>
            <w:tcW w:type="dxa" w:w="29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Pearson correlation coefficient between team_avg_score and delivery_quality_score per team_id, rolling 8-week window</w:t>
            </w:r>
          </w:p>
        </w:tc>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r &gt;= 0.5 (moderate-strong positive correlation) for &gt;= 60% of teams by month 12</w:t>
            </w:r>
          </w:p>
        </w:tc>
      </w:tr>
      <w:tr>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Prompt Library Growth Rate</w:t>
            </w:r>
          </w:p>
        </w:tc>
        <w:tc>
          <w:tcPr>
            <w:tcW w:type="dxa" w:w="24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prompt_library_records.created_at</w:t>
            </w:r>
          </w:p>
        </w:tc>
        <w:tc>
          <w:tcPr>
            <w:tcW w:type="dxa" w:w="29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COUNT(prompt_library_records WHERE created_at in current week) / COUNT(prompt_library_records WHERE created_at in prior week) — week-over-week growth</w:t>
            </w:r>
          </w:p>
        </w:tc>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Net positive library growth for 40+ consecutive weeks after Phase 1 launch</w:t>
            </w:r>
          </w:p>
        </w:tc>
      </w:tr>
      <w:tr>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Library Utilization Rate</w:t>
            </w:r>
          </w:p>
        </w:tc>
        <w:tc>
          <w:tcPr>
            <w:tcW w:type="dxa" w:w="24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prompt_library_records.view_count, prompt_library_records.adoption_count</w:t>
            </w:r>
          </w:p>
        </w:tc>
        <w:tc>
          <w:tcPr>
            <w:tcW w:type="dxa" w:w="29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(adoption_count / view_count) per prompt — adopted = user copied or templated the prompt in their own session</w:t>
            </w:r>
          </w:p>
        </w:tc>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&gt;= 30% adoption rate for prompts in the library (views that convert to use)</w:t>
            </w:r>
          </w:p>
        </w:tc>
      </w:tr>
      <w:tr>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Org AI Readiness Score</w:t>
            </w:r>
          </w:p>
        </w:tc>
        <w:tc>
          <w:tcPr>
            <w:tcW w:type="dxa" w:w="24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aggregated_org_metrics.org_ai_readiness_score</w:t>
            </w:r>
          </w:p>
        </w:tc>
        <w:tc>
          <w:tcPr>
            <w:tcW w:type="dxa" w:w="296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(adoption_rate × 0.35) + (avg_validation_score_normalized × 0.40) + (pct_positive_velocity_users × 0.25) — normalized 0–100</w:t>
            </w:r>
          </w:p>
        </w:tc>
        <w:tc>
          <w:tcPr>
            <w:tcW w:type="dxa" w:w="2000"/>
            <w:tcBorders>
              <w:top w:val="single" w:color="E8EDF2" w:sz="2"/>
              <w:left w:val="single" w:color="E8EDF2" w:sz="2"/>
              <w:bottom w:val="single" w:color="E8EDF2" w:sz="2"/>
              <w:right w:val="single" w:color="E8EDF2" w:sz="2"/>
            </w:tcBorders>
            <w:shd w:fill="F8FAFB"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Score &gt;= 65 by end of year 1; &gt;= 80 by end of year 2</w:t>
            </w:r>
          </w:p>
        </w:tc>
      </w:tr>
      <w:tr>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High-Performer Identification Rate</w:t>
            </w:r>
          </w:p>
        </w:tc>
        <w:tc>
          <w:tcPr>
            <w:tcW w:type="dxa" w:w="24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aggregated_user_metrics.validation_score, learning_velocity</w:t>
            </w:r>
          </w:p>
        </w:tc>
        <w:tc>
          <w:tcPr>
            <w:tcW w:type="dxa" w:w="296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COUNT(user_id WHERE validation_score &gt;= 8.5 AND learning_velocity &gt; 0.2) — potential prompt library contributors and peer mentors</w:t>
            </w:r>
          </w:p>
        </w:tc>
        <w:tc>
          <w:tcPr>
            <w:tcW w:type="dxa" w:w="2000"/>
            <w:tcBorders>
              <w:top w:val="single" w:color="E8EDF2" w:sz="2"/>
              <w:left w:val="single" w:color="E8EDF2" w:sz="2"/>
              <w:bottom w:val="single" w:color="E8EDF2" w:sz="2"/>
              <w:right w:val="single" w:color="E8EDF2" w:sz="2"/>
            </w:tcBorders>
            <w:shd w:fill="FFFFFF" w:val="clear"/>
            <w:tcMar>
              <w:top w:type="dxa" w:w="80"/>
              <w:left w:type="dxa" w:w="120"/>
              <w:bottom w:type="dxa" w:w="80"/>
              <w:right w:type="dxa" w:w="120"/>
            </w:tcMar>
            <w:vAlign w:val="top"/>
          </w:tcPr>
          <w:p>
            <w:pPr>
              <w:spacing w:before="60" w:after="60"/>
              <w:jc w:val="left"/>
            </w:pPr>
            <w:r>
              <w:rPr>
                <w:rFonts w:ascii="Arial" w:cs="Arial" w:eastAsia="Arial" w:hAnsi="Arial"/>
                <w:b w:val="false"/>
                <w:bCs w:val="false"/>
                <w:i w:val="false"/>
                <w:iCs w:val="false"/>
                <w:caps w:val="false"/>
                <w:color w:val="1A202C"/>
                <w:sz w:val="19"/>
                <w:szCs w:val="19"/>
              </w:rPr>
              <w:t xml:space="preserve">5% of active users identified as high-performers within 6 months of launch</w:t>
            </w:r>
          </w:p>
        </w:tc>
      </w:tr>
    </w:tbl>
    <w:p>
      <w:pPr>
        <w:spacing w:before="120" w:after="0"/>
      </w:pPr>
      <w:r>
        <w:rPr>
          <w:rFonts w:ascii="Arial" w:cs="Arial" w:eastAsia="Arial" w:hAnsi="Arial"/>
          <w:b w:val="false"/>
          <w:bCs w:val="false"/>
          <w:i w:val="false"/>
          <w:iCs w:val="false"/>
          <w:caps w:val="false"/>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6"/>
              <w:left w:val="single" w:color="C8922A" w:sz="20"/>
              <w:bottom w:val="single" w:color="C8922A" w:sz="6"/>
              <w:right w:val="single" w:color="C8922A" w:sz="6"/>
            </w:tcBorders>
            <w:shd w:fill="FDF3DC" w:val="clear"/>
            <w:tcMar>
              <w:top w:type="dxa" w:w="80"/>
              <w:left w:type="dxa" w:w="120"/>
              <w:bottom w:type="dxa" w:w="80"/>
              <w:right w:type="dxa" w:w="120"/>
            </w:tcMar>
            <w:vAlign w:val="top"/>
          </w:tcPr>
          <w:p>
            <w:pPr>
              <w:spacing w:before="40" w:after="40"/>
            </w:pPr>
            <w:r>
              <w:rPr>
                <w:rFonts w:ascii="Arial" w:cs="Arial" w:eastAsia="Arial" w:hAnsi="Arial"/>
                <w:b/>
                <w:bCs/>
                <w:color w:val="C8922A"/>
                <w:sz w:val="20"/>
                <w:szCs w:val="20"/>
              </w:rPr>
              <w:t xml:space="preserve">Governance note:  </w:t>
            </w:r>
            <w:r>
              <w:rPr>
                <w:rFonts w:ascii="Arial" w:cs="Arial" w:eastAsia="Arial" w:hAnsi="Arial"/>
                <w:color w:val="4A5568"/>
                <w:sz w:val="20"/>
                <w:szCs w:val="20"/>
              </w:rPr>
              <w:t xml:space="preserve">KPI targets defined in this document are engineering acceptance criteria and organizational benchmarks. They are not employee performance metrics. Changes to any KPI definition, threshold, or calculation formula require approval from the data strategy owner, the Center of Excellence lead, and the senior engineering lead before implementation.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DF2" w:sz="4" w:space="1"/>
      </w:pBdr>
      <w:spacing w:before="80" w:after="0"/>
    </w:pPr>
    <w:r>
      <w:rPr>
        <w:rFonts w:ascii="Arial" w:cs="Arial" w:eastAsia="Arial" w:hAnsi="Arial"/>
        <w:color w:val="B0BAC5"/>
        <w:sz w:val="16"/>
        <w:szCs w:val="16"/>
      </w:rPr>
      <w:t xml:space="preserve">2026  |  Data Pipeline Specification  |  Page </w:t>
    </w:r>
    <w:r>
      <w:rPr>
        <w:rFonts w:ascii="Arial" w:cs="Arial" w:eastAsia="Arial" w:hAnsi="Arial"/>
        <w:color w:val="B0BAC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DF2" w:sz="4" w:space="1"/>
      </w:pBdr>
      <w:spacing w:before="0" w:after="80"/>
    </w:pPr>
    <w:r>
      <w:rPr>
        <w:rFonts w:ascii="Arial" w:cs="Arial" w:eastAsia="Arial" w:hAnsi="Arial"/>
        <w:color w:val="B0BAC5"/>
        <w:sz w:val="16"/>
        <w:szCs w:val="16"/>
      </w:rPr>
      <w:t xml:space="preserve">Infovision  |  Prompt Validator — Data Strategy + Business Rules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aps/>
      <w:color w:val="1B3A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7A8C"/>
      <w:sz w:val="24"/>
      <w:szCs w:val="24"/>
    </w:rPr>
  </w:style>
  <w:style w:type="paragraph" w:styleId="Heading4">
    <w:name w:val="Heading 4"/>
    <w:basedOn w:val="Normal"/>
    <w:next w:val="Normal"/>
    <w:qFormat/>
    <w:pPr>
      <w:spacing w:before="160" w:after="60"/>
      <w:outlineLvl w:val="3"/>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2026-03-30T04:35:32.810Z</dcterms:created>
  <dcterms:modified xsi:type="dcterms:W3CDTF">2026-03-30T04:35:32.811Z</dcterms:modified>
</cp:coreProperties>
</file>

<file path=docProps/custom.xml><?xml version="1.0" encoding="utf-8"?>
<Properties xmlns="http://schemas.openxmlformats.org/officeDocument/2006/custom-properties" xmlns:vt="http://schemas.openxmlformats.org/officeDocument/2006/docPropsVTypes"/>
</file>