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A8631F"/>
          <w:sz w:val="18"/>
        </w:rPr>
        <w:t>INFRASTRUCTURE PLAN · US-EAST-1</w:t>
      </w:r>
    </w:p>
    <w:p>
      <w:pPr>
        <w:spacing w:after="120"/>
      </w:pPr>
      <w:r>
        <w:rPr>
          <w:rFonts w:ascii="Cambria" w:hAnsi="Cambria"/>
          <w:b/>
          <w:color w:val="1B1F2A"/>
          <w:sz w:val="52"/>
        </w:rPr>
        <w:t>AWS Production Deployment Plan</w:t>
      </w:r>
    </w:p>
    <w:p>
      <w:pPr>
        <w:spacing w:after="280"/>
      </w:pPr>
      <w:r>
        <w:rPr>
          <w:rFonts w:ascii="Calibri" w:hAnsi="Calibri"/>
          <w:i w:val="0"/>
          <w:color w:val="5B6472"/>
          <w:sz w:val="23"/>
        </w:rPr>
        <w:t>prompt-library-backend — a lean, AWS-native rollout for the Hono.js API and React/Vite frontend: ECS Fargate behind an ALB, RDS for PostgreSQL, S3 + CloudFront for the SPA, secrets in Secrets Manager, and a GitHub Actions pipeline with OIDC — sized for low cost today with a documented path to high availability.</w:t>
      </w:r>
    </w:p>
    <w:p>
      <w:r>
        <w:rPr>
          <w:rFonts w:ascii="Consolas" w:hAnsi="Consolas"/>
          <w:color w:val="5B6472"/>
          <w:sz w:val="18"/>
        </w:rPr>
        <w:t xml:space="preserve">Compute: </w:t>
      </w:r>
      <w:r>
        <w:rPr>
          <w:rFonts w:ascii="Consolas" w:hAnsi="Consolas"/>
          <w:b/>
          <w:color w:val="1B1F2A"/>
          <w:sz w:val="18"/>
        </w:rPr>
        <w:t xml:space="preserve">ECS Fargate    </w:t>
      </w:r>
      <w:r>
        <w:rPr>
          <w:rFonts w:ascii="Consolas" w:hAnsi="Consolas"/>
          <w:color w:val="5B6472"/>
          <w:sz w:val="18"/>
        </w:rPr>
        <w:t xml:space="preserve">Database: </w:t>
      </w:r>
      <w:r>
        <w:rPr>
          <w:rFonts w:ascii="Consolas" w:hAnsi="Consolas"/>
          <w:b/>
          <w:color w:val="1B1F2A"/>
          <w:sz w:val="18"/>
        </w:rPr>
        <w:t xml:space="preserve">RDS PostgreSQL    </w:t>
      </w:r>
      <w:r>
        <w:rPr>
          <w:rFonts w:ascii="Consolas" w:hAnsi="Consolas"/>
          <w:color w:val="5B6472"/>
          <w:sz w:val="18"/>
        </w:rPr>
        <w:t xml:space="preserve">Frontend: </w:t>
      </w:r>
      <w:r>
        <w:rPr>
          <w:rFonts w:ascii="Consolas" w:hAnsi="Consolas"/>
          <w:b/>
          <w:color w:val="1B1F2A"/>
          <w:sz w:val="18"/>
        </w:rPr>
        <w:t xml:space="preserve">S3 + CloudFront    </w:t>
      </w:r>
      <w:r>
        <w:rPr>
          <w:rFonts w:ascii="Consolas" w:hAnsi="Consolas"/>
          <w:color w:val="5B6472"/>
          <w:sz w:val="18"/>
        </w:rPr>
        <w:t xml:space="preserve">Tier: </w:t>
      </w:r>
      <w:r>
        <w:rPr>
          <w:rFonts w:ascii="Consolas" w:hAnsi="Consolas"/>
          <w:b/>
          <w:color w:val="1B1F2A"/>
          <w:sz w:val="18"/>
        </w:rPr>
        <w:t xml:space="preserve">Lean start, HA-ready    </w:t>
      </w:r>
      <w:r>
        <w:rPr>
          <w:rFonts w:ascii="Consolas" w:hAnsi="Consolas"/>
          <w:color w:val="5B6472"/>
          <w:sz w:val="18"/>
        </w:rPr>
        <w:t xml:space="preserve">Region: </w:t>
      </w:r>
      <w:r>
        <w:rPr>
          <w:rFonts w:ascii="Consolas" w:hAnsi="Consolas"/>
          <w:b/>
          <w:color w:val="1B1F2A"/>
          <w:sz w:val="18"/>
        </w:rPr>
        <w:t xml:space="preserve">us-east-1    </w:t>
      </w:r>
    </w:p>
    <w:p/>
    <w:p>
      <w:pPr>
        <w:spacing w:before="440" w:after="160"/>
        <w:pBdr>
          <w:bottom w:val="single" w:sz="6" w:space="4" w:color="D8DCD4"/>
        </w:pBdr>
      </w:pPr>
      <w:r>
        <w:rPr>
          <w:rFonts w:ascii="Consolas" w:hAnsi="Consolas"/>
          <w:b/>
          <w:color w:val="A8631F"/>
          <w:sz w:val="22"/>
        </w:rPr>
        <w:t xml:space="preserve">00  </w:t>
      </w:r>
      <w:r>
        <w:rPr>
          <w:rFonts w:ascii="Cambria" w:hAnsi="Cambria"/>
          <w:b/>
          <w:color w:val="1B1F2A"/>
          <w:sz w:val="30"/>
        </w:rPr>
        <w:t>Current state &amp; gaps</w:t>
      </w:r>
    </w:p>
    <w:p>
      <w:r>
        <w:rPr>
          <w:rFonts w:ascii="Calibri" w:hAnsi="Calibri"/>
          <w:color w:val="1B1F2A"/>
          <w:sz w:val="21"/>
        </w:rPr>
        <w:t>An audit of the repo turned up a few things worth fixing before any AWS resource is created — cheap to fix now, expensive to debug in production.</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EEEBE3"/>
          </w:tcPr>
          <w:p>
            <w:r>
              <w:rPr>
                <w:rFonts w:ascii="Calibri" w:hAnsi="Calibri"/>
                <w:b/>
                <w:color w:val="5B6472"/>
                <w:sz w:val="18"/>
              </w:rPr>
              <w:t>Area</w:t>
            </w:r>
          </w:p>
        </w:tc>
        <w:tc>
          <w:tcPr>
            <w:tcW w:type="dxa" w:w="4896"/>
            <w:shd w:val="clear" w:color="auto" w:fill="EEEBE3"/>
          </w:tcPr>
          <w:p>
            <w:r>
              <w:rPr>
                <w:rFonts w:ascii="Calibri" w:hAnsi="Calibri"/>
                <w:b/>
                <w:color w:val="5B6472"/>
                <w:sz w:val="18"/>
              </w:rPr>
              <w:t>Finding</w:t>
            </w:r>
          </w:p>
        </w:tc>
        <w:tc>
          <w:tcPr>
            <w:tcW w:type="dxa" w:w="1872"/>
            <w:shd w:val="clear" w:color="auto" w:fill="EEEBE3"/>
          </w:tcPr>
          <w:p>
            <w:r>
              <w:rPr>
                <w:rFonts w:ascii="Calibri" w:hAnsi="Calibri"/>
                <w:b/>
                <w:color w:val="5B6472"/>
                <w:sz w:val="18"/>
              </w:rPr>
              <w:t>Priority</w:t>
            </w:r>
          </w:p>
        </w:tc>
      </w:tr>
      <w:tr>
        <w:tc>
          <w:tcPr>
            <w:tcW w:type="dxa" w:w="2160"/>
          </w:tcPr>
          <w:p>
            <w:r>
              <w:rPr>
                <w:rFonts w:ascii="Calibri" w:hAnsi="Calibri"/>
                <w:color w:val="1B1F2A"/>
                <w:sz w:val="19"/>
              </w:rPr>
              <w:t>Env var drift</w:t>
            </w:r>
          </w:p>
        </w:tc>
        <w:tc>
          <w:tcPr>
            <w:tcW w:type="dxa" w:w="4896"/>
          </w:tcPr>
          <w:p>
            <w:r>
              <w:rPr>
                <w:rFonts w:ascii="Calibri" w:hAnsi="Calibri"/>
                <w:color w:val="1B1F2A"/>
                <w:sz w:val="19"/>
              </w:rPr>
              <w:t>OPENROUTER_API_KEY vs ANTHROPIC_API_KEY mismatch</w:t>
            </w:r>
          </w:p>
        </w:tc>
        <w:tc>
          <w:tcPr>
            <w:tcW w:type="dxa" w:w="1872"/>
          </w:tcPr>
          <w:p>
            <w:r>
              <w:rPr>
                <w:rFonts w:ascii="Calibri" w:hAnsi="Calibri"/>
                <w:color w:val="1B1F2A"/>
                <w:sz w:val="19"/>
              </w:rPr>
              <w:t>Fix first</w:t>
            </w:r>
          </w:p>
        </w:tc>
      </w:tr>
      <w:tr>
        <w:tc>
          <w:tcPr>
            <w:tcW w:type="dxa" w:w="2160"/>
          </w:tcPr>
          <w:p>
            <w:r>
              <w:rPr>
                <w:rFonts w:ascii="Calibri" w:hAnsi="Calibri"/>
                <w:color w:val="1B1F2A"/>
                <w:sz w:val="19"/>
              </w:rPr>
              <w:t>Node version</w:t>
            </w:r>
          </w:p>
        </w:tc>
        <w:tc>
          <w:tcPr>
            <w:tcW w:type="dxa" w:w="4896"/>
          </w:tcPr>
          <w:p>
            <w:r>
              <w:rPr>
                <w:rFonts w:ascii="Calibri" w:hAnsi="Calibri"/>
                <w:color w:val="1B1F2A"/>
                <w:sz w:val="19"/>
              </w:rPr>
              <w:t>No engines field / .nvmrc anywhere</w:t>
            </w:r>
          </w:p>
        </w:tc>
        <w:tc>
          <w:tcPr>
            <w:tcW w:type="dxa" w:w="1872"/>
          </w:tcPr>
          <w:p>
            <w:r>
              <w:rPr>
                <w:rFonts w:ascii="Calibri" w:hAnsi="Calibri"/>
                <w:color w:val="1B1F2A"/>
                <w:sz w:val="19"/>
              </w:rPr>
              <w:t>Pin before Docker</w:t>
            </w:r>
          </w:p>
        </w:tc>
      </w:tr>
      <w:tr>
        <w:tc>
          <w:tcPr>
            <w:tcW w:type="dxa" w:w="2160"/>
          </w:tcPr>
          <w:p>
            <w:r>
              <w:rPr>
                <w:rFonts w:ascii="Calibri" w:hAnsi="Calibri"/>
                <w:color w:val="1B1F2A"/>
                <w:sz w:val="19"/>
              </w:rPr>
              <w:t>Containerization</w:t>
            </w:r>
          </w:p>
        </w:tc>
        <w:tc>
          <w:tcPr>
            <w:tcW w:type="dxa" w:w="4896"/>
          </w:tcPr>
          <w:p>
            <w:r>
              <w:rPr>
                <w:rFonts w:ascii="Calibri" w:hAnsi="Calibri"/>
                <w:color w:val="1B1F2A"/>
                <w:sz w:val="19"/>
              </w:rPr>
              <w:t>No Dockerfile in the repo</w:t>
            </w:r>
          </w:p>
        </w:tc>
        <w:tc>
          <w:tcPr>
            <w:tcW w:type="dxa" w:w="1872"/>
          </w:tcPr>
          <w:p>
            <w:r>
              <w:rPr>
                <w:rFonts w:ascii="Calibri" w:hAnsi="Calibri"/>
                <w:color w:val="1B1F2A"/>
                <w:sz w:val="19"/>
              </w:rPr>
              <w:t>Needed for ECS</w:t>
            </w:r>
          </w:p>
        </w:tc>
      </w:tr>
      <w:tr>
        <w:tc>
          <w:tcPr>
            <w:tcW w:type="dxa" w:w="2160"/>
          </w:tcPr>
          <w:p>
            <w:r>
              <w:rPr>
                <w:rFonts w:ascii="Calibri" w:hAnsi="Calibri"/>
                <w:color w:val="1B1F2A"/>
                <w:sz w:val="19"/>
              </w:rPr>
              <w:t>CI/CD</w:t>
            </w:r>
          </w:p>
        </w:tc>
        <w:tc>
          <w:tcPr>
            <w:tcW w:type="dxa" w:w="4896"/>
          </w:tcPr>
          <w:p>
            <w:r>
              <w:rPr>
                <w:rFonts w:ascii="Calibri" w:hAnsi="Calibri"/>
                <w:color w:val="1B1F2A"/>
                <w:sz w:val="19"/>
              </w:rPr>
              <w:t>No .github/workflows — fully manual today</w:t>
            </w:r>
          </w:p>
        </w:tc>
        <w:tc>
          <w:tcPr>
            <w:tcW w:type="dxa" w:w="1872"/>
          </w:tcPr>
          <w:p>
            <w:r>
              <w:rPr>
                <w:rFonts w:ascii="Calibri" w:hAnsi="Calibri"/>
                <w:color w:val="1B1F2A"/>
                <w:sz w:val="19"/>
              </w:rPr>
              <w:t>Build in Phase 7</w:t>
            </w:r>
          </w:p>
        </w:tc>
      </w:tr>
      <w:tr>
        <w:tc>
          <w:tcPr>
            <w:tcW w:type="dxa" w:w="2160"/>
          </w:tcPr>
          <w:p>
            <w:r>
              <w:rPr>
                <w:rFonts w:ascii="Calibri" w:hAnsi="Calibri"/>
                <w:color w:val="1B1F2A"/>
                <w:sz w:val="19"/>
              </w:rPr>
              <w:t>Entrypoints</w:t>
            </w:r>
          </w:p>
        </w:tc>
        <w:tc>
          <w:tcPr>
            <w:tcW w:type="dxa" w:w="4896"/>
          </w:tcPr>
          <w:p>
            <w:r>
              <w:rPr>
                <w:rFonts w:ascii="Calibri" w:hAnsi="Calibri"/>
                <w:color w:val="1B1F2A"/>
                <w:sz w:val="19"/>
              </w:rPr>
              <w:t>src/index.ts (node-server) + api/index.ts (Vercel)</w:t>
            </w:r>
          </w:p>
        </w:tc>
        <w:tc>
          <w:tcPr>
            <w:tcW w:type="dxa" w:w="1872"/>
          </w:tcPr>
          <w:p>
            <w:r>
              <w:rPr>
                <w:rFonts w:ascii="Calibri" w:hAnsi="Calibri"/>
                <w:color w:val="1B1F2A"/>
                <w:sz w:val="19"/>
              </w:rPr>
              <w:t>Use index.ts for ECS</w:t>
            </w:r>
          </w:p>
        </w:tc>
      </w:tr>
      <w:tr>
        <w:tc>
          <w:tcPr>
            <w:tcW w:type="dxa" w:w="2160"/>
          </w:tcPr>
          <w:p>
            <w:r>
              <w:rPr>
                <w:rFonts w:ascii="Calibri" w:hAnsi="Calibri"/>
                <w:color w:val="1B1F2A"/>
                <w:sz w:val="19"/>
              </w:rPr>
              <w:t>Database today</w:t>
            </w:r>
          </w:p>
        </w:tc>
        <w:tc>
          <w:tcPr>
            <w:tcW w:type="dxa" w:w="4896"/>
          </w:tcPr>
          <w:p>
            <w:r>
              <w:rPr>
                <w:rFonts w:ascii="Calibri" w:hAnsi="Calibri"/>
                <w:color w:val="1B1F2A"/>
                <w:sz w:val="19"/>
              </w:rPr>
              <w:t>Local Postgres only — nothing managed yet</w:t>
            </w:r>
          </w:p>
        </w:tc>
        <w:tc>
          <w:tcPr>
            <w:tcW w:type="dxa" w:w="1872"/>
          </w:tcPr>
          <w:p>
            <w:r>
              <w:rPr>
                <w:rFonts w:ascii="Calibri" w:hAnsi="Calibri"/>
                <w:color w:val="1B1F2A"/>
                <w:sz w:val="19"/>
              </w:rPr>
              <w:t>Clean slate for RDS</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6F1E8"/>
            <w:tcBorders>
              <w:left w:val="single" w:sz="18" w:color="A8631F"/>
            </w:tcBorders>
          </w:tcPr>
          <w:p>
            <w:pPr>
              <w:spacing w:after="60"/>
            </w:pPr>
            <w:r>
              <w:rPr>
                <w:rFonts w:ascii="Consolas" w:hAnsi="Consolas"/>
                <w:b/>
                <w:color w:val="A8631F"/>
                <w:sz w:val="16"/>
              </w:rPr>
              <w:t>FIX BEFORE PHASE 1</w:t>
            </w:r>
          </w:p>
          <w:p>
            <w:r>
              <w:rPr>
                <w:color w:val="1B1F2A"/>
                <w:sz w:val="20"/>
              </w:rPr>
              <w:t>backend/.env.example lists ANTHROPIC_API_KEY, but the code (src/engine/ai/client.ts, src/engine/utils.ts) and CLAUDE.md both reference OPENROUTER_API_KEY. Confirm which key is actually live, update .env.example to match reality, and use that confirmed name everywhere below (Secrets Manager entry, ECS task definition, CI). Shipping the wrong variable name is the single most common first-deploy failure mode.</w:t>
            </w:r>
          </w:p>
        </w:tc>
      </w:tr>
    </w:tbl>
    <w:p>
      <w:pPr>
        <w:spacing w:after="80"/>
      </w:pPr>
    </w:p>
    <w:p>
      <w:pPr>
        <w:spacing w:before="440" w:after="160"/>
        <w:pBdr>
          <w:bottom w:val="single" w:sz="6" w:space="4" w:color="D8DCD4"/>
        </w:pBdr>
      </w:pPr>
      <w:r>
        <w:rPr>
          <w:rFonts w:ascii="Consolas" w:hAnsi="Consolas"/>
          <w:b/>
          <w:color w:val="A8631F"/>
          <w:sz w:val="22"/>
        </w:rPr>
        <w:t xml:space="preserve">01  </w:t>
      </w:r>
      <w:r>
        <w:rPr>
          <w:rFonts w:ascii="Cambria" w:hAnsi="Cambria"/>
          <w:b/>
          <w:color w:val="1B1F2A"/>
          <w:sz w:val="30"/>
        </w:rPr>
        <w:t>Target architecture</w:t>
      </w:r>
    </w:p>
    <w:p>
      <w:r>
        <w:rPr>
          <w:rFonts w:ascii="Calibri" w:hAnsi="Calibri"/>
          <w:color w:val="1B1F2A"/>
          <w:sz w:val="21"/>
        </w:rPr>
        <w:t>One region, one VPC, two availability zones. The frontend and backend are deployed and scaled independently; the only thing crossing between them at runtime is HTTPS calls from the browser.</w:t>
      </w:r>
    </w:p>
    <w:p>
      <w:r>
        <w:rPr>
          <w:rFonts w:ascii="Calibri" w:hAnsi="Calibri"/>
          <w:color w:val="1B1F2A"/>
          <w:sz w:val="21"/>
        </w:rPr>
        <w:t>Traffic flow: Browser → Route 53 → (app domain) CloudFront → S3 static SPA, or (api domain) → Application Load Balancer → ECS Fargate service → RDS PostgreSQL. ECS reads its configuration from Secrets Manager at container start. GitHub Actions pushes images to ECR and updates the ECS service, and syncs frontend builds to S3.</w:t>
      </w:r>
    </w:p>
    <w:p>
      <w:r>
        <w:rPr>
          <w:rFonts w:ascii="Calibri" w:hAnsi="Calibri"/>
          <w:color w:val="1B1F2A"/>
          <w:sz w:val="21"/>
        </w:rPr>
        <w:t>Backend and frontend live on separate subdomains (e.g. app.example.com → CloudFront, api.example.com → ALB) so CORS stays a single, explicit allow-list entry (FRONTEND_URL) rather than a wildcard.</w:t>
      </w:r>
    </w:p>
    <w:p>
      <w:pPr>
        <w:spacing w:before="440" w:after="160"/>
        <w:pBdr>
          <w:bottom w:val="single" w:sz="6" w:space="4" w:color="D8DCD4"/>
        </w:pBdr>
      </w:pPr>
      <w:r>
        <w:rPr>
          <w:rFonts w:ascii="Consolas" w:hAnsi="Consolas"/>
          <w:b/>
          <w:color w:val="A8631F"/>
          <w:sz w:val="22"/>
        </w:rPr>
        <w:t xml:space="preserve">02  </w:t>
      </w:r>
      <w:r>
        <w:rPr>
          <w:rFonts w:ascii="Cambria" w:hAnsi="Cambria"/>
          <w:b/>
          <w:color w:val="1B1F2A"/>
          <w:sz w:val="30"/>
        </w:rPr>
        <w:t>Networking (VPC)</w:t>
      </w:r>
    </w:p>
    <w:p>
      <w:pPr>
        <w:pStyle w:val="ListBullet"/>
        <w:spacing w:after="80"/>
        <w:ind w:left="360"/>
      </w:pPr>
      <w:r>
        <w:rPr>
          <w:b/>
          <w:color w:val="1B1F2A"/>
          <w:sz w:val="21"/>
        </w:rPr>
        <w:t xml:space="preserve">1 VPC, 2 AZs — </w:t>
      </w:r>
      <w:r>
        <w:rPr>
          <w:sz w:val="21"/>
        </w:rPr>
        <w:t>the minimum for an ALB and for RDS to support Multi-AZ later without a redesign.</w:t>
      </w:r>
    </w:p>
    <w:p>
      <w:pPr>
        <w:pStyle w:val="ListBullet"/>
        <w:spacing w:after="80"/>
        <w:ind w:left="360"/>
      </w:pPr>
      <w:r>
        <w:rPr>
          <w:b/>
          <w:color w:val="1B1F2A"/>
          <w:sz w:val="21"/>
        </w:rPr>
        <w:t xml:space="preserve">Public subnets (2): </w:t>
      </w:r>
      <w:r>
        <w:rPr>
          <w:sz w:val="21"/>
        </w:rPr>
        <w:t>ALB + NAT Gateway only. Nothing else gets a public IP.</w:t>
      </w:r>
    </w:p>
    <w:p>
      <w:pPr>
        <w:pStyle w:val="ListBullet"/>
        <w:spacing w:after="80"/>
        <w:ind w:left="360"/>
      </w:pPr>
      <w:r>
        <w:rPr>
          <w:b/>
          <w:color w:val="1B1F2A"/>
          <w:sz w:val="21"/>
        </w:rPr>
        <w:t xml:space="preserve">Private subnets (2): </w:t>
      </w:r>
      <w:r>
        <w:rPr>
          <w:sz w:val="21"/>
        </w:rPr>
        <w:t>ECS tasks and the RDS instance. No route to the internet except outbound via NAT.</w:t>
      </w:r>
    </w:p>
    <w:p>
      <w:pPr>
        <w:pStyle w:val="ListBullet"/>
        <w:spacing w:after="80"/>
        <w:ind w:left="360"/>
      </w:pPr>
      <w:r>
        <w:rPr>
          <w:b/>
          <w:color w:val="1B1F2A"/>
          <w:sz w:val="21"/>
        </w:rPr>
        <w:t xml:space="preserve">1 NAT Gateway to start (lean tier) </w:t>
      </w:r>
      <w:r>
        <w:rPr>
          <w:sz w:val="21"/>
        </w:rPr>
        <w:t>— shared across both AZs. Deliberate single point of failure traded for cost; see Section 13 for the one-per-AZ upgrade.</w:t>
      </w:r>
    </w:p>
    <w:p>
      <w:r>
        <w:rPr>
          <w:rFonts w:ascii="Calibri" w:hAnsi="Calibri"/>
          <w:color w:val="1B1F2A"/>
          <w:sz w:val="21"/>
        </w:rPr>
        <w:t>Security groups, chained tightly:</w:t>
      </w:r>
    </w:p>
    <w:p>
      <w:pPr>
        <w:pStyle w:val="ListBullet"/>
        <w:spacing w:after="80"/>
        <w:ind w:left="360"/>
      </w:pPr>
      <w:r>
        <w:rPr>
          <w:sz w:val="21"/>
        </w:rPr>
        <w:t>alb-sg — inbound 443 (and 80 → redirect) from 0.0.0.0/0</w:t>
      </w:r>
    </w:p>
    <w:p>
      <w:pPr>
        <w:pStyle w:val="ListBullet"/>
        <w:spacing w:after="80"/>
        <w:ind w:left="360"/>
      </w:pPr>
      <w:r>
        <w:rPr>
          <w:sz w:val="21"/>
        </w:rPr>
        <w:t>ecs-sg — inbound on the app port from alb-sg only</w:t>
      </w:r>
    </w:p>
    <w:p>
      <w:pPr>
        <w:pStyle w:val="ListBullet"/>
        <w:spacing w:after="80"/>
        <w:ind w:left="360"/>
      </w:pPr>
      <w:r>
        <w:rPr>
          <w:sz w:val="21"/>
        </w:rPr>
        <w:t>rds-sg — inbound 5432 from ecs-sg only</w:t>
      </w:r>
    </w:p>
    <w:tbl>
      <w:tblPr>
        <w:tblW w:type="auto" w:w="0"/>
        <w:tblLook w:firstColumn="1" w:firstRow="1" w:lastColumn="0" w:lastRow="0" w:noHBand="0" w:noVBand="1" w:val="04A0"/>
      </w:tblPr>
      <w:tblGrid>
        <w:gridCol w:w="9072"/>
      </w:tblGrid>
      <w:tr>
        <w:tc>
          <w:tcPr>
            <w:tcW w:type="dxa" w:w="9072"/>
            <w:shd w:val="clear" w:color="auto" w:fill="F6F1E8"/>
            <w:tcBorders>
              <w:left w:val="single" w:sz="18" w:color="2E6B40"/>
            </w:tcBorders>
          </w:tcPr>
          <w:p>
            <w:pPr>
              <w:spacing w:after="60"/>
            </w:pPr>
            <w:r>
              <w:rPr>
                <w:rFonts w:ascii="Consolas" w:hAnsi="Consolas"/>
                <w:b/>
                <w:color w:val="2E6B40"/>
                <w:sz w:val="16"/>
              </w:rPr>
              <w:t>WHY THIS SHAPE</w:t>
            </w:r>
          </w:p>
          <w:p>
            <w:r>
              <w:rPr>
                <w:color w:val="1B1F2A"/>
                <w:sz w:val="20"/>
              </w:rPr>
              <w:t>The RDS instance and ECS tasks are never reachable from the public internet, even by mistake — the only public entry points are the ALB and CloudFront, both terminating TLS.</w:t>
            </w:r>
          </w:p>
        </w:tc>
      </w:tr>
    </w:tbl>
    <w:p>
      <w:pPr>
        <w:spacing w:after="80"/>
      </w:pPr>
    </w:p>
    <w:p>
      <w:pPr>
        <w:spacing w:before="440" w:after="160"/>
        <w:pBdr>
          <w:bottom w:val="single" w:sz="6" w:space="4" w:color="D8DCD4"/>
        </w:pBdr>
      </w:pPr>
      <w:r>
        <w:rPr>
          <w:rFonts w:ascii="Consolas" w:hAnsi="Consolas"/>
          <w:b/>
          <w:color w:val="A8631F"/>
          <w:sz w:val="22"/>
        </w:rPr>
        <w:t xml:space="preserve">03  </w:t>
      </w:r>
      <w:r>
        <w:rPr>
          <w:rFonts w:ascii="Cambria" w:hAnsi="Cambria"/>
          <w:b/>
          <w:color w:val="1B1F2A"/>
          <w:sz w:val="30"/>
        </w:rPr>
        <w:t>Backend compute — ECS Fargate</w:t>
      </w:r>
    </w:p>
    <w:p>
      <w:r>
        <w:rPr>
          <w:rFonts w:ascii="Calibri" w:hAnsi="Calibri"/>
          <w:color w:val="1B1F2A"/>
          <w:sz w:val="21"/>
        </w:rPr>
        <w:t>10 route files, a single Hono app, no background workers — this is comfortably a one-service ECS deployment. No need to split routes into separate services.</w:t>
      </w:r>
    </w:p>
    <w:p>
      <w:pPr>
        <w:spacing w:before="240" w:after="80"/>
      </w:pPr>
      <w:r>
        <w:rPr>
          <w:rFonts w:ascii="Cambria" w:hAnsi="Cambria"/>
          <w:b/>
          <w:color w:val="1B1F2A"/>
          <w:sz w:val="24"/>
        </w:rPr>
        <w:t>Dockerfile</w:t>
      </w:r>
    </w:p>
    <w:p>
      <w:pPr>
        <w:spacing w:after="40"/>
      </w:pPr>
      <w:r>
        <w:rPr>
          <w:rFonts w:ascii="Consolas" w:hAnsi="Consolas"/>
          <w:color w:val="5B6472"/>
          <w:sz w:val="17"/>
        </w:rPr>
        <w:t>backend/Dockerfile</w:t>
      </w:r>
    </w:p>
    <w:tbl>
      <w:tblPr>
        <w:tblW w:type="auto" w:w="0"/>
        <w:jc w:val="left"/>
        <w:tblLook w:firstColumn="1" w:firstRow="1" w:lastColumn="0" w:lastRow="0" w:noHBand="0" w:noVBand="1" w:val="04A0"/>
      </w:tblPr>
      <w:tblGrid>
        <w:gridCol w:w="9072"/>
      </w:tblGrid>
      <w:tr>
        <w:tc>
          <w:tcPr>
            <w:tcW w:type="dxa" w:w="9072"/>
            <w:shd w:val="clear" w:color="auto" w:fill="EFEFEA"/>
            <w:tcBorders>
              <w:top w:val="single" w:sz="4" w:color="D8DCD4"/>
              <w:left w:val="single" w:sz="4" w:color="D8DCD4"/>
              <w:bottom w:val="single" w:sz="4" w:color="D8DCD4"/>
              <w:right w:val="single" w:sz="4" w:color="D8DCD4"/>
            </w:tcBorders>
          </w:tcPr>
          <w:p>
            <w:pPr>
              <w:spacing w:after="0"/>
            </w:pPr>
            <w:r>
              <w:rPr>
                <w:rFonts w:ascii="Consolas" w:hAnsi="Consolas"/>
                <w:color w:val="1B1F2A"/>
                <w:sz w:val="17"/>
              </w:rPr>
              <w:t>FROM node:20-alpine AS deps</w:t>
            </w:r>
            <w:r>
              <w:rPr>
                <w:rFonts w:ascii="Consolas" w:hAnsi="Consolas"/>
                <w:color w:val="1B1F2A"/>
                <w:sz w:val="17"/>
              </w:rPr>
              <w:br/>
              <w:t>WORKDIR /app</w:t>
            </w:r>
            <w:r>
              <w:rPr>
                <w:rFonts w:ascii="Consolas" w:hAnsi="Consolas"/>
                <w:color w:val="1B1F2A"/>
                <w:sz w:val="17"/>
              </w:rPr>
              <w:br/>
              <w:t>COPY package*.json ./</w:t>
            </w:r>
            <w:r>
              <w:rPr>
                <w:rFonts w:ascii="Consolas" w:hAnsi="Consolas"/>
                <w:color w:val="1B1F2A"/>
                <w:sz w:val="17"/>
              </w:rPr>
              <w:br/>
              <w:t>RUN npm ci</w:t>
            </w:r>
            <w:r>
              <w:rPr>
                <w:rFonts w:ascii="Consolas" w:hAnsi="Consolas"/>
                <w:color w:val="1B1F2A"/>
                <w:sz w:val="17"/>
              </w:rPr>
              <w:br/>
            </w:r>
            <w:r>
              <w:rPr>
                <w:rFonts w:ascii="Consolas" w:hAnsi="Consolas"/>
                <w:color w:val="1B1F2A"/>
                <w:sz w:val="17"/>
              </w:rPr>
              <w:br/>
              <w:t>FROM deps AS build</w:t>
            </w:r>
            <w:r>
              <w:rPr>
                <w:rFonts w:ascii="Consolas" w:hAnsi="Consolas"/>
                <w:color w:val="1B1F2A"/>
                <w:sz w:val="17"/>
              </w:rPr>
              <w:br/>
              <w:t>COPY . .</w:t>
            </w:r>
            <w:r>
              <w:rPr>
                <w:rFonts w:ascii="Consolas" w:hAnsi="Consolas"/>
                <w:color w:val="1B1F2A"/>
                <w:sz w:val="17"/>
              </w:rPr>
              <w:br/>
              <w:t>RUN npm run build</w:t>
            </w:r>
            <w:r>
              <w:rPr>
                <w:rFonts w:ascii="Consolas" w:hAnsi="Consolas"/>
                <w:color w:val="1B1F2A"/>
                <w:sz w:val="17"/>
              </w:rPr>
              <w:br/>
            </w:r>
            <w:r>
              <w:rPr>
                <w:rFonts w:ascii="Consolas" w:hAnsi="Consolas"/>
                <w:color w:val="1B1F2A"/>
                <w:sz w:val="17"/>
              </w:rPr>
              <w:br/>
              <w:t>FROM node:20-alpine AS runtime</w:t>
            </w:r>
            <w:r>
              <w:rPr>
                <w:rFonts w:ascii="Consolas" w:hAnsi="Consolas"/>
                <w:color w:val="1B1F2A"/>
                <w:sz w:val="17"/>
              </w:rPr>
              <w:br/>
              <w:t>WORKDIR /app</w:t>
            </w:r>
            <w:r>
              <w:rPr>
                <w:rFonts w:ascii="Consolas" w:hAnsi="Consolas"/>
                <w:color w:val="1B1F2A"/>
                <w:sz w:val="17"/>
              </w:rPr>
              <w:br/>
              <w:t>ENV NODE_ENV=production</w:t>
            </w:r>
            <w:r>
              <w:rPr>
                <w:rFonts w:ascii="Consolas" w:hAnsi="Consolas"/>
                <w:color w:val="1B1F2A"/>
                <w:sz w:val="17"/>
              </w:rPr>
              <w:br/>
              <w:t>COPY package*.json ./</w:t>
            </w:r>
            <w:r>
              <w:rPr>
                <w:rFonts w:ascii="Consolas" w:hAnsi="Consolas"/>
                <w:color w:val="1B1F2A"/>
                <w:sz w:val="17"/>
              </w:rPr>
              <w:br/>
              <w:t>RUN npm ci --omit=dev &amp;&amp; npm cache clean --force</w:t>
            </w:r>
            <w:r>
              <w:rPr>
                <w:rFonts w:ascii="Consolas" w:hAnsi="Consolas"/>
                <w:color w:val="1B1F2A"/>
                <w:sz w:val="17"/>
              </w:rPr>
              <w:br/>
              <w:t>COPY --from=build /app/dist ./dist</w:t>
            </w:r>
            <w:r>
              <w:rPr>
                <w:rFonts w:ascii="Consolas" w:hAnsi="Consolas"/>
                <w:color w:val="1B1F2A"/>
                <w:sz w:val="17"/>
              </w:rPr>
              <w:br/>
              <w:t>EXPOSE 3000</w:t>
            </w:r>
            <w:r>
              <w:rPr>
                <w:rFonts w:ascii="Consolas" w:hAnsi="Consolas"/>
                <w:color w:val="1B1F2A"/>
                <w:sz w:val="17"/>
              </w:rPr>
              <w:br/>
              <w:t>USER node</w:t>
            </w:r>
            <w:r>
              <w:rPr>
                <w:rFonts w:ascii="Consolas" w:hAnsi="Consolas"/>
                <w:color w:val="1B1F2A"/>
                <w:sz w:val="17"/>
              </w:rPr>
              <w:br/>
              <w:t>CMD ["node", "dist/index.js"]</w:t>
            </w:r>
          </w:p>
        </w:tc>
      </w:tr>
    </w:tbl>
    <w:p>
      <w:pPr>
        <w:spacing w:after="80"/>
      </w:pPr>
    </w:p>
    <w:p>
      <w:r>
        <w:rPr>
          <w:rFonts w:ascii="Calibri" w:hAnsi="Calibri"/>
          <w:color w:val="1B1F2A"/>
          <w:sz w:val="21"/>
        </w:rPr>
        <w:t>Two things to check in src/index.ts before this works in a container: the server must bind hostname: "0.0.0.0" (not localhost) so the ALB can reach it, and it needs a cheap GET /health route returning 200 for the ALB target group and the ECS container health check to use.</w:t>
      </w:r>
    </w:p>
    <w:p>
      <w:pPr>
        <w:spacing w:before="240" w:after="80"/>
      </w:pPr>
      <w:r>
        <w:rPr>
          <w:rFonts w:ascii="Cambria" w:hAnsi="Cambria"/>
          <w:b/>
          <w:color w:val="1B1F2A"/>
          <w:sz w:val="24"/>
        </w:rPr>
        <w:t>ECS resources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EEEBE3"/>
          </w:tcPr>
          <w:p>
            <w:r>
              <w:rPr>
                <w:rFonts w:ascii="Calibri" w:hAnsi="Calibri"/>
                <w:b/>
                <w:color w:val="5B6472"/>
                <w:sz w:val="18"/>
              </w:rPr>
              <w:t>Resource</w:t>
            </w:r>
          </w:p>
        </w:tc>
        <w:tc>
          <w:tcPr>
            <w:tcW w:type="dxa" w:w="6048"/>
            <w:shd w:val="clear" w:color="auto" w:fill="EEEBE3"/>
          </w:tcPr>
          <w:p>
            <w:r>
              <w:rPr>
                <w:rFonts w:ascii="Calibri" w:hAnsi="Calibri"/>
                <w:b/>
                <w:color w:val="5B6472"/>
                <w:sz w:val="18"/>
              </w:rPr>
              <w:t>Lean-tier setting</w:t>
            </w:r>
          </w:p>
        </w:tc>
      </w:tr>
      <w:tr>
        <w:tc>
          <w:tcPr>
            <w:tcW w:type="dxa" w:w="2880"/>
          </w:tcPr>
          <w:p>
            <w:r>
              <w:rPr>
                <w:rFonts w:ascii="Calibri" w:hAnsi="Calibri"/>
                <w:color w:val="1B1F2A"/>
                <w:sz w:val="19"/>
              </w:rPr>
              <w:t>ECR repository</w:t>
            </w:r>
          </w:p>
        </w:tc>
        <w:tc>
          <w:tcPr>
            <w:tcW w:type="dxa" w:w="6048"/>
          </w:tcPr>
          <w:p>
            <w:r>
              <w:rPr>
                <w:rFonts w:ascii="Calibri" w:hAnsi="Calibri"/>
                <w:color w:val="1B1F2A"/>
                <w:sz w:val="19"/>
              </w:rPr>
              <w:t>prompt-library-backend, image scan on push enabled</w:t>
            </w:r>
          </w:p>
        </w:tc>
      </w:tr>
      <w:tr>
        <w:tc>
          <w:tcPr>
            <w:tcW w:type="dxa" w:w="2880"/>
          </w:tcPr>
          <w:p>
            <w:r>
              <w:rPr>
                <w:rFonts w:ascii="Calibri" w:hAnsi="Calibri"/>
                <w:color w:val="1B1F2A"/>
                <w:sz w:val="19"/>
              </w:rPr>
              <w:t>ECS cluster</w:t>
            </w:r>
          </w:p>
        </w:tc>
        <w:tc>
          <w:tcPr>
            <w:tcW w:type="dxa" w:w="6048"/>
          </w:tcPr>
          <w:p>
            <w:r>
              <w:rPr>
                <w:rFonts w:ascii="Calibri" w:hAnsi="Calibri"/>
                <w:color w:val="1B1F2A"/>
                <w:sz w:val="19"/>
              </w:rPr>
              <w:t>Fargate only, no EC2 capacity provider</w:t>
            </w:r>
          </w:p>
        </w:tc>
      </w:tr>
      <w:tr>
        <w:tc>
          <w:tcPr>
            <w:tcW w:type="dxa" w:w="2880"/>
          </w:tcPr>
          <w:p>
            <w:r>
              <w:rPr>
                <w:rFonts w:ascii="Calibri" w:hAnsi="Calibri"/>
                <w:color w:val="1B1F2A"/>
                <w:sz w:val="19"/>
              </w:rPr>
              <w:t>Task definition</w:t>
            </w:r>
          </w:p>
        </w:tc>
        <w:tc>
          <w:tcPr>
            <w:tcW w:type="dxa" w:w="6048"/>
          </w:tcPr>
          <w:p>
            <w:r>
              <w:rPr>
                <w:rFonts w:ascii="Calibri" w:hAnsi="Calibri"/>
                <w:color w:val="1B1F2A"/>
                <w:sz w:val="19"/>
              </w:rPr>
              <w:t>0.25 vCPU / 0.5 GB, awslogs driver → CloudWatch</w:t>
            </w:r>
          </w:p>
        </w:tc>
      </w:tr>
      <w:tr>
        <w:tc>
          <w:tcPr>
            <w:tcW w:type="dxa" w:w="2880"/>
          </w:tcPr>
          <w:p>
            <w:r>
              <w:rPr>
                <w:rFonts w:ascii="Calibri" w:hAnsi="Calibri"/>
                <w:color w:val="1B1F2A"/>
                <w:sz w:val="19"/>
              </w:rPr>
              <w:t>IAM — task execution role</w:t>
            </w:r>
          </w:p>
        </w:tc>
        <w:tc>
          <w:tcPr>
            <w:tcW w:type="dxa" w:w="6048"/>
          </w:tcPr>
          <w:p>
            <w:r>
              <w:rPr>
                <w:rFonts w:ascii="Calibri" w:hAnsi="Calibri"/>
                <w:color w:val="1B1F2A"/>
                <w:sz w:val="19"/>
              </w:rPr>
              <w:t>Pull from ECR, write logs, read the 3 Secrets Manager ARNs — nothing else</w:t>
            </w:r>
          </w:p>
        </w:tc>
      </w:tr>
      <w:tr>
        <w:tc>
          <w:tcPr>
            <w:tcW w:type="dxa" w:w="2880"/>
          </w:tcPr>
          <w:p>
            <w:r>
              <w:rPr>
                <w:rFonts w:ascii="Calibri" w:hAnsi="Calibri"/>
                <w:color w:val="1B1F2A"/>
                <w:sz w:val="19"/>
              </w:rPr>
              <w:t>IAM — task role</w:t>
            </w:r>
          </w:p>
        </w:tc>
        <w:tc>
          <w:tcPr>
            <w:tcW w:type="dxa" w:w="6048"/>
          </w:tcPr>
          <w:p>
            <w:r>
              <w:rPr>
                <w:rFonts w:ascii="Calibri" w:hAnsi="Calibri"/>
                <w:color w:val="1B1F2A"/>
                <w:sz w:val="19"/>
              </w:rPr>
              <w:t>Empty unless the app calls other AWS services directly</w:t>
            </w:r>
          </w:p>
        </w:tc>
      </w:tr>
      <w:tr>
        <w:tc>
          <w:tcPr>
            <w:tcW w:type="dxa" w:w="2880"/>
          </w:tcPr>
          <w:p>
            <w:r>
              <w:rPr>
                <w:rFonts w:ascii="Calibri" w:hAnsi="Calibri"/>
                <w:color w:val="1B1F2A"/>
                <w:sz w:val="19"/>
              </w:rPr>
              <w:t>Service</w:t>
            </w:r>
          </w:p>
        </w:tc>
        <w:tc>
          <w:tcPr>
            <w:tcW w:type="dxa" w:w="6048"/>
          </w:tcPr>
          <w:p>
            <w:r>
              <w:rPr>
                <w:rFonts w:ascii="Calibri" w:hAnsi="Calibri"/>
                <w:color w:val="1B1F2A"/>
                <w:sz w:val="19"/>
              </w:rPr>
              <w:t>Desired count 1–2, deployment circuit breaker + auto-rollback ON</w:t>
            </w:r>
          </w:p>
        </w:tc>
      </w:tr>
      <w:tr>
        <w:tc>
          <w:tcPr>
            <w:tcW w:type="dxa" w:w="2880"/>
          </w:tcPr>
          <w:p>
            <w:r>
              <w:rPr>
                <w:rFonts w:ascii="Calibri" w:hAnsi="Calibri"/>
                <w:color w:val="1B1F2A"/>
                <w:sz w:val="19"/>
              </w:rPr>
              <w:t>Autoscaling</w:t>
            </w:r>
          </w:p>
        </w:tc>
        <w:tc>
          <w:tcPr>
            <w:tcW w:type="dxa" w:w="6048"/>
          </w:tcPr>
          <w:p>
            <w:r>
              <w:rPr>
                <w:rFonts w:ascii="Calibri" w:hAnsi="Calibri"/>
                <w:color w:val="1B1F2A"/>
                <w:sz w:val="19"/>
              </w:rPr>
              <w:t>Target tracking, 60% avg CPU, min 1 / max 4</w:t>
            </w:r>
          </w:p>
        </w:tc>
      </w:tr>
    </w:tbl>
    <w:p>
      <w:pPr>
        <w:spacing w:after="80"/>
      </w:pPr>
    </w:p>
    <w:p>
      <w:pPr>
        <w:spacing w:before="440" w:after="160"/>
        <w:pBdr>
          <w:bottom w:val="single" w:sz="6" w:space="4" w:color="D8DCD4"/>
        </w:pBdr>
      </w:pPr>
      <w:r>
        <w:rPr>
          <w:rFonts w:ascii="Consolas" w:hAnsi="Consolas"/>
          <w:b/>
          <w:color w:val="A8631F"/>
          <w:sz w:val="22"/>
        </w:rPr>
        <w:t xml:space="preserve">04  </w:t>
      </w:r>
      <w:r>
        <w:rPr>
          <w:rFonts w:ascii="Cambria" w:hAnsi="Cambria"/>
          <w:b/>
          <w:color w:val="1B1F2A"/>
          <w:sz w:val="30"/>
        </w:rPr>
        <w:t>Database — RDS for PostgreSQL</w:t>
      </w:r>
    </w:p>
    <w:p>
      <w:pPr>
        <w:pStyle w:val="ListBullet"/>
        <w:spacing w:after="80"/>
        <w:ind w:left="360"/>
      </w:pPr>
      <w:r>
        <w:rPr>
          <w:b/>
          <w:color w:val="1B1F2A"/>
          <w:sz w:val="21"/>
        </w:rPr>
        <w:t xml:space="preserve">Engine: </w:t>
      </w:r>
      <w:r>
        <w:rPr>
          <w:sz w:val="21"/>
        </w:rPr>
        <w:t>PostgreSQL 16, instance class db.t4g.micro (Graviton — cheapest burstable class).</w:t>
      </w:r>
    </w:p>
    <w:p>
      <w:pPr>
        <w:pStyle w:val="ListBullet"/>
        <w:spacing w:after="80"/>
        <w:ind w:left="360"/>
      </w:pPr>
      <w:r>
        <w:rPr>
          <w:b/>
          <w:color w:val="1B1F2A"/>
          <w:sz w:val="21"/>
        </w:rPr>
        <w:t xml:space="preserve">Availability: </w:t>
      </w:r>
      <w:r>
        <w:rPr>
          <w:sz w:val="21"/>
        </w:rPr>
        <w:t>Single-AZ to start (lean tier) — see Section 13 for the Multi-AZ flip, a no-downtime modification when needed.</w:t>
      </w:r>
    </w:p>
    <w:p>
      <w:pPr>
        <w:pStyle w:val="ListBullet"/>
        <w:spacing w:after="80"/>
        <w:ind w:left="360"/>
      </w:pPr>
      <w:r>
        <w:rPr>
          <w:b/>
          <w:color w:val="1B1F2A"/>
          <w:sz w:val="21"/>
        </w:rPr>
        <w:t xml:space="preserve">Storage: </w:t>
      </w:r>
      <w:r>
        <w:rPr>
          <w:sz w:val="21"/>
        </w:rPr>
        <w:t>20 GB gp3, storage autoscaling enabled so a full disk doesn't take the API down.</w:t>
      </w:r>
    </w:p>
    <w:p>
      <w:pPr>
        <w:pStyle w:val="ListBullet"/>
        <w:spacing w:after="80"/>
        <w:ind w:left="360"/>
      </w:pPr>
      <w:r>
        <w:rPr>
          <w:b/>
          <w:color w:val="1B1F2A"/>
          <w:sz w:val="21"/>
        </w:rPr>
        <w:t xml:space="preserve">Backups: </w:t>
      </w:r>
      <w:r>
        <w:rPr>
          <w:sz w:val="21"/>
        </w:rPr>
        <w:t>Automated daily snapshots, 7-day retention, point-in-time recovery on.</w:t>
      </w:r>
    </w:p>
    <w:p>
      <w:pPr>
        <w:pStyle w:val="ListBullet"/>
        <w:spacing w:after="80"/>
        <w:ind w:left="360"/>
      </w:pPr>
      <w:r>
        <w:rPr>
          <w:b/>
          <w:color w:val="1B1F2A"/>
          <w:sz w:val="21"/>
        </w:rPr>
        <w:t xml:space="preserve">Access: </w:t>
      </w:r>
      <w:r>
        <w:rPr>
          <w:sz w:val="21"/>
        </w:rPr>
        <w:t>Private subnet group, rds-sg only, not publicly accessible, deletion protection ON.</w:t>
      </w:r>
    </w:p>
    <w:p>
      <w:pPr>
        <w:pStyle w:val="ListBullet"/>
        <w:spacing w:after="80"/>
        <w:ind w:left="360"/>
      </w:pPr>
      <w:r>
        <w:rPr>
          <w:b/>
          <w:color w:val="1B1F2A"/>
          <w:sz w:val="21"/>
        </w:rPr>
        <w:t xml:space="preserve">Migrations: </w:t>
      </w:r>
      <w:r>
        <w:rPr>
          <w:sz w:val="21"/>
        </w:rPr>
        <w:t>npm run db:migrate (drizzle-kit) runs as a one-off ECS task using the same image, before the service is updated — not from a developer laptop against the production database.</w:t>
      </w:r>
    </w:p>
    <w:tbl>
      <w:tblPr>
        <w:tblW w:type="auto" w:w="0"/>
        <w:tblLook w:firstColumn="1" w:firstRow="1" w:lastColumn="0" w:lastRow="0" w:noHBand="0" w:noVBand="1" w:val="04A0"/>
      </w:tblPr>
      <w:tblGrid>
        <w:gridCol w:w="9072"/>
      </w:tblGrid>
      <w:tr>
        <w:tc>
          <w:tcPr>
            <w:tcW w:type="dxa" w:w="9072"/>
            <w:shd w:val="clear" w:color="auto" w:fill="F6F1E8"/>
            <w:tcBorders>
              <w:left w:val="single" w:sz="18" w:color="A8631F"/>
            </w:tcBorders>
          </w:tcPr>
          <w:p>
            <w:pPr>
              <w:spacing w:after="60"/>
            </w:pPr>
            <w:r>
              <w:rPr>
                <w:rFonts w:ascii="Consolas" w:hAnsi="Consolas"/>
                <w:b/>
                <w:color w:val="A8631F"/>
                <w:sz w:val="16"/>
              </w:rPr>
              <w:t>MIGRATION SAFETY</w:t>
            </w:r>
          </w:p>
          <w:p>
            <w:r>
              <w:rPr>
                <w:color w:val="1B1F2A"/>
                <w:sz w:val="20"/>
              </w:rPr>
              <w:t>Favor expand-contract migrations (add nullable column → backfill → make it required in a later deploy) so a bad app deploy can be rolled back without also needing to roll back the schema.</w:t>
            </w:r>
          </w:p>
        </w:tc>
      </w:tr>
    </w:tbl>
    <w:p>
      <w:pPr>
        <w:spacing w:after="80"/>
      </w:pPr>
    </w:p>
    <w:p>
      <w:pPr>
        <w:spacing w:before="440" w:after="160"/>
        <w:pBdr>
          <w:bottom w:val="single" w:sz="6" w:space="4" w:color="D8DCD4"/>
        </w:pBdr>
      </w:pPr>
      <w:r>
        <w:rPr>
          <w:rFonts w:ascii="Consolas" w:hAnsi="Consolas"/>
          <w:b/>
          <w:color w:val="A8631F"/>
          <w:sz w:val="22"/>
        </w:rPr>
        <w:t xml:space="preserve">05  </w:t>
      </w:r>
      <w:r>
        <w:rPr>
          <w:rFonts w:ascii="Cambria" w:hAnsi="Cambria"/>
          <w:b/>
          <w:color w:val="1B1F2A"/>
          <w:sz w:val="30"/>
        </w:rPr>
        <w:t>Frontend — S3 + CloudFront</w:t>
      </w:r>
    </w:p>
    <w:p>
      <w:pPr>
        <w:pStyle w:val="ListBullet"/>
        <w:spacing w:after="80"/>
        <w:ind w:left="360"/>
      </w:pPr>
      <w:r>
        <w:rPr>
          <w:b/>
          <w:color w:val="1B1F2A"/>
          <w:sz w:val="21"/>
        </w:rPr>
        <w:t xml:space="preserve">S3 bucket: </w:t>
      </w:r>
      <w:r>
        <w:rPr>
          <w:sz w:val="21"/>
        </w:rPr>
        <w:t>private, no public access — CloudFront reaches it via Origin Access Control, not a public bucket policy.</w:t>
      </w:r>
    </w:p>
    <w:p>
      <w:pPr>
        <w:pStyle w:val="ListBullet"/>
        <w:spacing w:after="80"/>
        <w:ind w:left="360"/>
      </w:pPr>
      <w:r>
        <w:rPr>
          <w:b/>
          <w:color w:val="1B1F2A"/>
          <w:sz w:val="21"/>
        </w:rPr>
        <w:t xml:space="preserve">Build: </w:t>
      </w:r>
      <w:r>
        <w:rPr>
          <w:sz w:val="21"/>
        </w:rPr>
        <w:t>CI runs pnpm install &amp;&amp; pnpm build fresh in frontend/ and syncs the resulting dist/ — don't ship the dist/ already committed in the repo; build reproducibly on every deploy instead.</w:t>
      </w:r>
    </w:p>
    <w:p>
      <w:pPr>
        <w:pStyle w:val="ListBullet"/>
        <w:spacing w:after="80"/>
        <w:ind w:left="360"/>
      </w:pPr>
      <w:r>
        <w:rPr>
          <w:b/>
          <w:color w:val="1B1F2A"/>
          <w:sz w:val="21"/>
        </w:rPr>
        <w:t xml:space="preserve">Cache policy: </w:t>
      </w:r>
      <w:r>
        <w:rPr>
          <w:sz w:val="21"/>
        </w:rPr>
        <w:t>index.html → Cache-Control: no-cache (always revalidate); hashed assets under /assets/* → Cache-Control: public, max-age=31536000, immutable.</w:t>
      </w:r>
    </w:p>
    <w:p>
      <w:pPr>
        <w:pStyle w:val="ListBullet"/>
        <w:spacing w:after="80"/>
        <w:ind w:left="360"/>
      </w:pPr>
      <w:r>
        <w:rPr>
          <w:b/>
          <w:color w:val="1B1F2A"/>
          <w:sz w:val="21"/>
        </w:rPr>
        <w:t xml:space="preserve">SPA routing: </w:t>
      </w:r>
      <w:r>
        <w:rPr>
          <w:sz w:val="21"/>
        </w:rPr>
        <w:t>CloudFront custom error responses — 403 and 404 both rewrite to /index.html with a 200, since this is a client-routed single-page app.</w:t>
      </w:r>
    </w:p>
    <w:p>
      <w:pPr>
        <w:pStyle w:val="ListBullet"/>
        <w:spacing w:after="80"/>
        <w:ind w:left="360"/>
      </w:pPr>
      <w:r>
        <w:rPr>
          <w:b/>
          <w:color w:val="1B1F2A"/>
          <w:sz w:val="21"/>
        </w:rPr>
        <w:t xml:space="preserve">TLS: </w:t>
      </w:r>
      <w:r>
        <w:rPr>
          <w:sz w:val="21"/>
        </w:rPr>
        <w:t>ACM certificate in us-east-1 (a hard CloudFront requirement, regardless of which region everything else lives in).</w:t>
      </w:r>
    </w:p>
    <w:p>
      <w:pPr>
        <w:pStyle w:val="ListBullet"/>
        <w:spacing w:after="80"/>
        <w:ind w:left="360"/>
      </w:pPr>
      <w:r>
        <w:rPr>
          <w:b/>
          <w:color w:val="1B1F2A"/>
          <w:sz w:val="21"/>
        </w:rPr>
        <w:t xml:space="preserve">Deploy: </w:t>
      </w:r>
      <w:r>
        <w:rPr>
          <w:sz w:val="21"/>
        </w:rPr>
        <w:t>CI syncs to S3, then issues a targeted CloudFront invalidation for /index.html (and any other non-hashed entry files) — not a full /* invalidation on every deploy.</w:t>
      </w:r>
    </w:p>
    <w:p>
      <w:r>
        <w:rPr>
          <w:rFonts w:ascii="Calibri" w:hAnsi="Calibri"/>
          <w:color w:val="1B1F2A"/>
          <w:sz w:val="21"/>
        </w:rPr>
        <w:t>The repo's frontend/public/previews/* tree (prebuilt static preview sites) is just more static content — it syncs to S3 the same way, no special handling needed.</w:t>
      </w:r>
    </w:p>
    <w:p>
      <w:pPr>
        <w:spacing w:before="440" w:after="160"/>
        <w:pBdr>
          <w:bottom w:val="single" w:sz="6" w:space="4" w:color="D8DCD4"/>
        </w:pBdr>
      </w:pPr>
      <w:r>
        <w:rPr>
          <w:rFonts w:ascii="Consolas" w:hAnsi="Consolas"/>
          <w:b/>
          <w:color w:val="A8631F"/>
          <w:sz w:val="22"/>
        </w:rPr>
        <w:t xml:space="preserve">06  </w:t>
      </w:r>
      <w:r>
        <w:rPr>
          <w:rFonts w:ascii="Cambria" w:hAnsi="Cambria"/>
          <w:b/>
          <w:color w:val="1B1F2A"/>
          <w:sz w:val="30"/>
        </w:rPr>
        <w:t>Secrets &amp; configuration</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EEEBE3"/>
          </w:tcPr>
          <w:p>
            <w:r>
              <w:rPr>
                <w:rFonts w:ascii="Calibri" w:hAnsi="Calibri"/>
                <w:b/>
                <w:color w:val="5B6472"/>
                <w:sz w:val="18"/>
              </w:rPr>
              <w:t>Secrets Manager entry</w:t>
            </w:r>
          </w:p>
        </w:tc>
        <w:tc>
          <w:tcPr>
            <w:tcW w:type="dxa" w:w="2448"/>
            <w:shd w:val="clear" w:color="auto" w:fill="EEEBE3"/>
          </w:tcPr>
          <w:p>
            <w:r>
              <w:rPr>
                <w:rFonts w:ascii="Calibri" w:hAnsi="Calibri"/>
                <w:b/>
                <w:color w:val="5B6472"/>
                <w:sz w:val="18"/>
              </w:rPr>
              <w:t>Injected as</w:t>
            </w:r>
          </w:p>
        </w:tc>
        <w:tc>
          <w:tcPr>
            <w:tcW w:type="dxa" w:w="4032"/>
            <w:shd w:val="clear" w:color="auto" w:fill="EEEBE3"/>
          </w:tcPr>
          <w:p>
            <w:r>
              <w:rPr>
                <w:rFonts w:ascii="Calibri" w:hAnsi="Calibri"/>
                <w:b/>
                <w:color w:val="5B6472"/>
                <w:sz w:val="18"/>
              </w:rPr>
              <w:t>Notes</w:t>
            </w:r>
          </w:p>
        </w:tc>
      </w:tr>
      <w:tr>
        <w:tc>
          <w:tcPr>
            <w:tcW w:type="dxa" w:w="3168"/>
          </w:tcPr>
          <w:p>
            <w:r>
              <w:rPr>
                <w:rFonts w:ascii="Calibri" w:hAnsi="Calibri"/>
                <w:color w:val="1B1F2A"/>
                <w:sz w:val="19"/>
              </w:rPr>
              <w:t>prod/promptlib/database-url</w:t>
            </w:r>
          </w:p>
        </w:tc>
        <w:tc>
          <w:tcPr>
            <w:tcW w:type="dxa" w:w="2448"/>
          </w:tcPr>
          <w:p>
            <w:r>
              <w:rPr>
                <w:rFonts w:ascii="Calibri" w:hAnsi="Calibri"/>
                <w:color w:val="1B1F2A"/>
                <w:sz w:val="19"/>
              </w:rPr>
              <w:t>DATABASE_URL</w:t>
            </w:r>
          </w:p>
        </w:tc>
        <w:tc>
          <w:tcPr>
            <w:tcW w:type="dxa" w:w="4032"/>
          </w:tcPr>
          <w:p>
            <w:r>
              <w:rPr>
                <w:rFonts w:ascii="Calibri" w:hAnsi="Calibri"/>
                <w:color w:val="1B1F2A"/>
                <w:sz w:val="19"/>
              </w:rPr>
              <w:t>RDS endpoint, app-user credentials — not the master password</w:t>
            </w:r>
          </w:p>
        </w:tc>
      </w:tr>
      <w:tr>
        <w:tc>
          <w:tcPr>
            <w:tcW w:type="dxa" w:w="3168"/>
          </w:tcPr>
          <w:p>
            <w:r>
              <w:rPr>
                <w:rFonts w:ascii="Calibri" w:hAnsi="Calibri"/>
                <w:color w:val="1B1F2A"/>
                <w:sz w:val="19"/>
              </w:rPr>
              <w:t>prod/promptlib/jwt-secret</w:t>
            </w:r>
          </w:p>
        </w:tc>
        <w:tc>
          <w:tcPr>
            <w:tcW w:type="dxa" w:w="2448"/>
          </w:tcPr>
          <w:p>
            <w:r>
              <w:rPr>
                <w:rFonts w:ascii="Calibri" w:hAnsi="Calibri"/>
                <w:color w:val="1B1F2A"/>
                <w:sz w:val="19"/>
              </w:rPr>
              <w:t>JWT_SECRET</w:t>
            </w:r>
          </w:p>
        </w:tc>
        <w:tc>
          <w:tcPr>
            <w:tcW w:type="dxa" w:w="4032"/>
          </w:tcPr>
          <w:p>
            <w:r>
              <w:rPr>
                <w:rFonts w:ascii="Calibri" w:hAnsi="Calibri"/>
                <w:color w:val="1B1F2A"/>
                <w:sz w:val="19"/>
              </w:rPr>
              <w:t>Long random string; rotating it invalidates all sessions</w:t>
            </w:r>
          </w:p>
        </w:tc>
      </w:tr>
      <w:tr>
        <w:tc>
          <w:tcPr>
            <w:tcW w:type="dxa" w:w="3168"/>
          </w:tcPr>
          <w:p>
            <w:r>
              <w:rPr>
                <w:rFonts w:ascii="Calibri" w:hAnsi="Calibri"/>
                <w:color w:val="1B1F2A"/>
                <w:sz w:val="19"/>
              </w:rPr>
              <w:t>prod/promptlib/openrouter-key</w:t>
            </w:r>
          </w:p>
        </w:tc>
        <w:tc>
          <w:tcPr>
            <w:tcW w:type="dxa" w:w="2448"/>
          </w:tcPr>
          <w:p>
            <w:r>
              <w:rPr>
                <w:rFonts w:ascii="Calibri" w:hAnsi="Calibri"/>
                <w:color w:val="1B1F2A"/>
                <w:sz w:val="19"/>
              </w:rPr>
              <w:t>OPENROUTER_API_KEY</w:t>
            </w:r>
          </w:p>
        </w:tc>
        <w:tc>
          <w:tcPr>
            <w:tcW w:type="dxa" w:w="4032"/>
          </w:tcPr>
          <w:p>
            <w:r>
              <w:rPr>
                <w:rFonts w:ascii="Calibri" w:hAnsi="Calibri"/>
                <w:color w:val="1B1F2A"/>
                <w:sz w:val="19"/>
              </w:rPr>
              <w:t>Confirm this is the name actually read by src/engine/ai/client.ts first</w:t>
            </w:r>
          </w:p>
        </w:tc>
      </w:tr>
    </w:tbl>
    <w:p>
      <w:pPr>
        <w:spacing w:after="80"/>
      </w:pPr>
    </w:p>
    <w:p>
      <w:r>
        <w:rPr>
          <w:rFonts w:ascii="Calibri" w:hAnsi="Calibri"/>
          <w:color w:val="1B1F2A"/>
          <w:sz w:val="21"/>
        </w:rPr>
        <w:t>Plain (non-secret) task-definition env vars: NODE_ENV=production, PORT=3000, FRONTEND_URL=https://app.example.com. Secrets are referenced by ARN in the ECS task definition's secrets array and resolved at container start — never baked into the image or committed to .env.example with real values.</w:t>
      </w:r>
    </w:p>
    <w:p>
      <w:pPr>
        <w:spacing w:before="440" w:after="160"/>
        <w:pBdr>
          <w:bottom w:val="single" w:sz="6" w:space="4" w:color="D8DCD4"/>
        </w:pBdr>
      </w:pPr>
      <w:r>
        <w:rPr>
          <w:rFonts w:ascii="Consolas" w:hAnsi="Consolas"/>
          <w:b/>
          <w:color w:val="A8631F"/>
          <w:sz w:val="22"/>
        </w:rPr>
        <w:t xml:space="preserve">07  </w:t>
      </w:r>
      <w:r>
        <w:rPr>
          <w:rFonts w:ascii="Cambria" w:hAnsi="Cambria"/>
          <w:b/>
          <w:color w:val="1B1F2A"/>
          <w:sz w:val="30"/>
        </w:rPr>
        <w:t>CI/CD — GitHub Actions</w:t>
      </w:r>
    </w:p>
    <w:p>
      <w:r>
        <w:rPr>
          <w:rFonts w:ascii="Calibri" w:hAnsi="Calibri"/>
          <w:color w:val="1B1F2A"/>
          <w:sz w:val="21"/>
        </w:rPr>
        <w:t>Two path-filtered workflows so a frontend-only change doesn't rebuild the backend and vice versa. Both authenticate to AWS via GitHub OIDC — no long-lived AWS_ACCESS_KEY_ID sitting in repo secrets.</w:t>
      </w:r>
    </w:p>
    <w:p>
      <w:pPr>
        <w:spacing w:after="40"/>
      </w:pPr>
      <w:r>
        <w:rPr>
          <w:rFonts w:ascii="Consolas" w:hAnsi="Consolas"/>
          <w:color w:val="5B6472"/>
          <w:sz w:val="17"/>
        </w:rPr>
        <w:t>.github/workflows/backend-deploy.yml (outline)</w:t>
      </w:r>
    </w:p>
    <w:tbl>
      <w:tblPr>
        <w:tblW w:type="auto" w:w="0"/>
        <w:jc w:val="left"/>
        <w:tblLook w:firstColumn="1" w:firstRow="1" w:lastColumn="0" w:lastRow="0" w:noHBand="0" w:noVBand="1" w:val="04A0"/>
      </w:tblPr>
      <w:tblGrid>
        <w:gridCol w:w="9072"/>
      </w:tblGrid>
      <w:tr>
        <w:tc>
          <w:tcPr>
            <w:tcW w:type="dxa" w:w="9072"/>
            <w:shd w:val="clear" w:color="auto" w:fill="EFEFEA"/>
            <w:tcBorders>
              <w:top w:val="single" w:sz="4" w:color="D8DCD4"/>
              <w:left w:val="single" w:sz="4" w:color="D8DCD4"/>
              <w:bottom w:val="single" w:sz="4" w:color="D8DCD4"/>
              <w:right w:val="single" w:sz="4" w:color="D8DCD4"/>
            </w:tcBorders>
          </w:tcPr>
          <w:p>
            <w:pPr>
              <w:spacing w:after="0"/>
            </w:pPr>
            <w:r>
              <w:rPr>
                <w:rFonts w:ascii="Consolas" w:hAnsi="Consolas"/>
                <w:color w:val="1B1F2A"/>
                <w:sz w:val="17"/>
              </w:rPr>
              <w:t>on:</w:t>
            </w:r>
            <w:r>
              <w:rPr>
                <w:rFonts w:ascii="Consolas" w:hAnsi="Consolas"/>
                <w:color w:val="1B1F2A"/>
                <w:sz w:val="17"/>
              </w:rPr>
              <w:br/>
              <w:t xml:space="preserve">  push:</w:t>
            </w:r>
            <w:r>
              <w:rPr>
                <w:rFonts w:ascii="Consolas" w:hAnsi="Consolas"/>
                <w:color w:val="1B1F2A"/>
                <w:sz w:val="17"/>
              </w:rPr>
              <w:br/>
              <w:t xml:space="preserve">    branches: [main]</w:t>
            </w:r>
            <w:r>
              <w:rPr>
                <w:rFonts w:ascii="Consolas" w:hAnsi="Consolas"/>
                <w:color w:val="1B1F2A"/>
                <w:sz w:val="17"/>
              </w:rPr>
              <w:br/>
              <w:t xml:space="preserve">    paths: ["backend/**"]</w:t>
            </w:r>
            <w:r>
              <w:rPr>
                <w:rFonts w:ascii="Consolas" w:hAnsi="Consolas"/>
                <w:color w:val="1B1F2A"/>
                <w:sz w:val="17"/>
              </w:rPr>
              <w:br/>
            </w:r>
            <w:r>
              <w:rPr>
                <w:rFonts w:ascii="Consolas" w:hAnsi="Consolas"/>
                <w:color w:val="1B1F2A"/>
                <w:sz w:val="17"/>
              </w:rPr>
              <w:br/>
              <w:t>permissions:</w:t>
            </w:r>
            <w:r>
              <w:rPr>
                <w:rFonts w:ascii="Consolas" w:hAnsi="Consolas"/>
                <w:color w:val="1B1F2A"/>
                <w:sz w:val="17"/>
              </w:rPr>
              <w:br/>
              <w:t xml:space="preserve">  id-token: write   # required for OIDC</w:t>
            </w:r>
            <w:r>
              <w:rPr>
                <w:rFonts w:ascii="Consolas" w:hAnsi="Consolas"/>
                <w:color w:val="1B1F2A"/>
                <w:sz w:val="17"/>
              </w:rPr>
              <w:br/>
              <w:t xml:space="preserve">  contents: read</w:t>
            </w:r>
            <w:r>
              <w:rPr>
                <w:rFonts w:ascii="Consolas" w:hAnsi="Consolas"/>
                <w:color w:val="1B1F2A"/>
                <w:sz w:val="17"/>
              </w:rPr>
              <w:br/>
            </w:r>
            <w:r>
              <w:rPr>
                <w:rFonts w:ascii="Consolas" w:hAnsi="Consolas"/>
                <w:color w:val="1B1F2A"/>
                <w:sz w:val="17"/>
              </w:rPr>
              <w:br/>
              <w:t>jobs:</w:t>
            </w:r>
            <w:r>
              <w:rPr>
                <w:rFonts w:ascii="Consolas" w:hAnsi="Consolas"/>
                <w:color w:val="1B1F2A"/>
                <w:sz w:val="17"/>
              </w:rPr>
              <w:br/>
              <w:t xml:space="preserve">  deploy:</w:t>
            </w:r>
            <w:r>
              <w:rPr>
                <w:rFonts w:ascii="Consolas" w:hAnsi="Consolas"/>
                <w:color w:val="1B1F2A"/>
                <w:sz w:val="17"/>
              </w:rPr>
              <w:br/>
              <w:t xml:space="preserve">    steps:</w:t>
            </w:r>
            <w:r>
              <w:rPr>
                <w:rFonts w:ascii="Consolas" w:hAnsi="Consolas"/>
                <w:color w:val="1B1F2A"/>
                <w:sz w:val="17"/>
              </w:rPr>
              <w:br/>
              <w:t xml:space="preserve">      - checkout</w:t>
            </w:r>
            <w:r>
              <w:rPr>
                <w:rFonts w:ascii="Consolas" w:hAnsi="Consolas"/>
                <w:color w:val="1B1F2A"/>
                <w:sz w:val="17"/>
              </w:rPr>
              <w:br/>
              <w:t xml:space="preserve">      - configure-aws-credentials (role-to-assume via OIDC)</w:t>
            </w:r>
            <w:r>
              <w:rPr>
                <w:rFonts w:ascii="Consolas" w:hAnsi="Consolas"/>
                <w:color w:val="1B1F2A"/>
                <w:sz w:val="17"/>
              </w:rPr>
              <w:br/>
              <w:t xml:space="preserve">      - docker build &amp; push to ECR, tag :sha and :latest</w:t>
            </w:r>
            <w:r>
              <w:rPr>
                <w:rFonts w:ascii="Consolas" w:hAnsi="Consolas"/>
                <w:color w:val="1B1F2A"/>
                <w:sz w:val="17"/>
              </w:rPr>
              <w:br/>
              <w:t xml:space="preserve">      - run drizzle migration as one-off ECS Fargate task, wait for exit 0</w:t>
            </w:r>
            <w:r>
              <w:rPr>
                <w:rFonts w:ascii="Consolas" w:hAnsi="Consolas"/>
                <w:color w:val="1B1F2A"/>
                <w:sz w:val="17"/>
              </w:rPr>
              <w:br/>
              <w:t xml:space="preserve">      - ecs update-service --force-new-deployment</w:t>
            </w:r>
            <w:r>
              <w:rPr>
                <w:rFonts w:ascii="Consolas" w:hAnsi="Consolas"/>
                <w:color w:val="1B1F2A"/>
                <w:sz w:val="17"/>
              </w:rPr>
              <w:br/>
              <w:t xml:space="preserve">      - wait for services-stable (fails the job if the circuit breaker rolls back)</w:t>
            </w:r>
          </w:p>
        </w:tc>
      </w:tr>
    </w:tbl>
    <w:p>
      <w:pPr>
        <w:spacing w:after="80"/>
      </w:pPr>
    </w:p>
    <w:p>
      <w:r>
        <w:rPr>
          <w:rFonts w:ascii="Calibri" w:hAnsi="Calibri"/>
          <w:color w:val="1B1F2A"/>
          <w:sz w:val="21"/>
        </w:rPr>
        <w:t>The frontend workflow mirrors this: build with pnpm, aws s3 sync dist/ s3://bucket --delete, then a scoped CloudFront invalidation.</w:t>
      </w:r>
    </w:p>
    <w:p>
      <w:pPr>
        <w:spacing w:before="440" w:after="160"/>
        <w:pBdr>
          <w:bottom w:val="single" w:sz="6" w:space="4" w:color="D8DCD4"/>
        </w:pBdr>
      </w:pPr>
      <w:r>
        <w:rPr>
          <w:rFonts w:ascii="Consolas" w:hAnsi="Consolas"/>
          <w:b/>
          <w:color w:val="A8631F"/>
          <w:sz w:val="22"/>
        </w:rPr>
        <w:t xml:space="preserve">08  </w:t>
      </w:r>
      <w:r>
        <w:rPr>
          <w:rFonts w:ascii="Cambria" w:hAnsi="Cambria"/>
          <w:b/>
          <w:color w:val="1B1F2A"/>
          <w:sz w:val="30"/>
        </w:rPr>
        <w:t>Observability</w:t>
      </w:r>
    </w:p>
    <w:p>
      <w:pPr>
        <w:pStyle w:val="ListBullet"/>
        <w:spacing w:after="80"/>
        <w:ind w:left="360"/>
      </w:pPr>
      <w:r>
        <w:rPr>
          <w:b/>
          <w:color w:val="1B1F2A"/>
          <w:sz w:val="21"/>
        </w:rPr>
        <w:t xml:space="preserve">Logs: </w:t>
      </w:r>
      <w:r>
        <w:rPr>
          <w:sz w:val="21"/>
        </w:rPr>
        <w:t>ECS tasks → CloudWatch Logs group /ecs/prompt-library-backend, 30-day retention.</w:t>
      </w:r>
    </w:p>
    <w:p>
      <w:pPr>
        <w:pStyle w:val="ListBullet"/>
        <w:spacing w:after="80"/>
        <w:ind w:left="360"/>
      </w:pPr>
      <w:r>
        <w:rPr>
          <w:b/>
          <w:color w:val="1B1F2A"/>
          <w:sz w:val="21"/>
        </w:rPr>
        <w:t xml:space="preserve">Alarms → SNS → email </w:t>
      </w:r>
      <w:r>
        <w:rPr>
          <w:sz w:val="21"/>
        </w:rPr>
        <w:t>(lean tier — no on-call tooling needed yet): ALB 5xx rate above threshold; ECS CPU/memory &gt; 80% sustained; RDS FreeStorageSpace low, DatabaseConnections near max.</w:t>
      </w:r>
    </w:p>
    <w:p>
      <w:pPr>
        <w:pStyle w:val="ListBullet"/>
        <w:spacing w:after="80"/>
        <w:ind w:left="360"/>
      </w:pPr>
      <w:r>
        <w:rPr>
          <w:b/>
          <w:color w:val="1B1F2A"/>
          <w:sz w:val="21"/>
        </w:rPr>
        <w:t xml:space="preserve">ALB access logs → S3 </w:t>
      </w:r>
      <w:r>
        <w:rPr>
          <w:sz w:val="21"/>
        </w:rPr>
        <w:t>cheap and useful for after-the-fact debugging even if nothing else consumes them yet.</w:t>
      </w:r>
    </w:p>
    <w:p>
      <w:pPr>
        <w:pStyle w:val="ListBullet"/>
        <w:spacing w:after="80"/>
        <w:ind w:left="360"/>
      </w:pPr>
      <w:r>
        <w:rPr>
          <w:b/>
          <w:color w:val="1B1F2A"/>
          <w:sz w:val="21"/>
        </w:rPr>
        <w:t xml:space="preserve">Health checks: </w:t>
      </w:r>
      <w:r>
        <w:rPr>
          <w:sz w:val="21"/>
        </w:rPr>
        <w:t>ALB target group + ECS container health check both hit the same /health route — a failing task is pulled from rotation and replaced automatically.</w:t>
      </w:r>
    </w:p>
    <w:p>
      <w:pPr>
        <w:spacing w:before="440" w:after="160"/>
        <w:pBdr>
          <w:bottom w:val="single" w:sz="6" w:space="4" w:color="D8DCD4"/>
        </w:pBdr>
      </w:pPr>
      <w:r>
        <w:rPr>
          <w:rFonts w:ascii="Consolas" w:hAnsi="Consolas"/>
          <w:b/>
          <w:color w:val="A8631F"/>
          <w:sz w:val="22"/>
        </w:rPr>
        <w:t xml:space="preserve">09  </w:t>
      </w:r>
      <w:r>
        <w:rPr>
          <w:rFonts w:ascii="Cambria" w:hAnsi="Cambria"/>
          <w:b/>
          <w:color w:val="1B1F2A"/>
          <w:sz w:val="30"/>
        </w:rPr>
        <w:t>Security checklist</w:t>
      </w:r>
    </w:p>
    <w:p>
      <w:pPr>
        <w:pStyle w:val="ListBullet"/>
        <w:spacing w:after="80"/>
        <w:ind w:left="360"/>
      </w:pPr>
      <w:r>
        <w:rPr>
          <w:sz w:val="21"/>
        </w:rPr>
        <w:t>RDS has no public IP and no route from the internet — verified by the SG chain in Section 02, not just by policy.</w:t>
      </w:r>
    </w:p>
    <w:p>
      <w:pPr>
        <w:pStyle w:val="ListBullet"/>
        <w:spacing w:after="80"/>
        <w:ind w:left="360"/>
      </w:pPr>
      <w:r>
        <w:rPr>
          <w:sz w:val="21"/>
        </w:rPr>
        <w:t>HTTP → HTTPS redirect at both the CloudFront and ALB listener level; no plaintext path to either service.</w:t>
      </w:r>
    </w:p>
    <w:p>
      <w:pPr>
        <w:pStyle w:val="ListBullet"/>
        <w:spacing w:after="80"/>
        <w:ind w:left="360"/>
      </w:pPr>
      <w:r>
        <w:rPr>
          <w:sz w:val="21"/>
        </w:rPr>
        <w:t>AWS WAF on CloudFront at minimum — a rate-based rule plus the AWS Managed Core Rule Set. Extend to the ALB when traffic justifies it.</w:t>
      </w:r>
    </w:p>
    <w:p>
      <w:pPr>
        <w:pStyle w:val="ListBullet"/>
        <w:spacing w:after="80"/>
        <w:ind w:left="360"/>
      </w:pPr>
      <w:r>
        <w:rPr>
          <w:sz w:val="21"/>
        </w:rPr>
        <w:t>Separate ECS task execution role (image pull, logs, the 3 named secrets) from the task role (app runtime permissions — empty unless the app itself calls AWS APIs).</w:t>
      </w:r>
    </w:p>
    <w:p>
      <w:pPr>
        <w:pStyle w:val="ListBullet"/>
        <w:spacing w:after="80"/>
        <w:ind w:left="360"/>
      </w:pPr>
      <w:r>
        <w:rPr>
          <w:sz w:val="21"/>
        </w:rPr>
        <w:t>FRONTEND_URL / CORS allow-list is the exact production domain, never *.</w:t>
      </w:r>
    </w:p>
    <w:p>
      <w:pPr>
        <w:pStyle w:val="ListBullet"/>
        <w:spacing w:after="80"/>
        <w:ind w:left="360"/>
      </w:pPr>
      <w:r>
        <w:rPr>
          <w:sz w:val="21"/>
        </w:rPr>
        <w:t>Confirm the bcryptjs cost factor in the auth code is 12 or higher before go-live.</w:t>
      </w:r>
    </w:p>
    <w:p>
      <w:pPr>
        <w:pStyle w:val="ListBullet"/>
        <w:spacing w:after="80"/>
        <w:ind w:left="360"/>
      </w:pPr>
      <w:r>
        <w:rPr>
          <w:sz w:val="21"/>
        </w:rPr>
        <w:t>npm audit (or Dependabot) wired into CI so dependency CVEs surface before a deploy, not after.</w:t>
      </w:r>
    </w:p>
    <w:p>
      <w:pPr>
        <w:pStyle w:val="ListBullet"/>
        <w:spacing w:after="80"/>
        <w:ind w:left="360"/>
      </w:pPr>
      <w:r>
        <w:rPr>
          <w:sz w:val="21"/>
        </w:rPr>
        <w:t>JWT rotation is a documented manual runbook, not automatic — rotating JWT_SECRET logs out every active session.</w:t>
      </w:r>
    </w:p>
    <w:p>
      <w:pPr>
        <w:spacing w:before="440" w:after="160"/>
        <w:pBdr>
          <w:bottom w:val="single" w:sz="6" w:space="4" w:color="D8DCD4"/>
        </w:pBdr>
      </w:pPr>
      <w:r>
        <w:rPr>
          <w:rFonts w:ascii="Consolas" w:hAnsi="Consolas"/>
          <w:b/>
          <w:color w:val="A8631F"/>
          <w:sz w:val="22"/>
        </w:rPr>
        <w:t xml:space="preserve">10  </w:t>
      </w:r>
      <w:r>
        <w:rPr>
          <w:rFonts w:ascii="Cambria" w:hAnsi="Cambria"/>
          <w:b/>
          <w:color w:val="1B1F2A"/>
          <w:sz w:val="30"/>
        </w:rPr>
        <w:t>Cost estimate — lean tier</w:t>
      </w:r>
    </w:p>
    <w:p>
      <w:r>
        <w:rPr>
          <w:rFonts w:ascii="Calibri" w:hAnsi="Calibri"/>
          <w:color w:val="1B1F2A"/>
          <w:sz w:val="21"/>
        </w:rPr>
        <w:t>Rough, single-region, low-traffic monthly figures — for sizing intuition, not a quote.</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EEEBE3"/>
          </w:tcPr>
          <w:p>
            <w:r>
              <w:rPr>
                <w:rFonts w:ascii="Calibri" w:hAnsi="Calibri"/>
                <w:b/>
                <w:color w:val="5B6472"/>
                <w:sz w:val="18"/>
              </w:rPr>
              <w:t>Resource</w:t>
            </w:r>
          </w:p>
        </w:tc>
        <w:tc>
          <w:tcPr>
            <w:tcW w:type="dxa" w:w="4464"/>
            <w:shd w:val="clear" w:color="auto" w:fill="EEEBE3"/>
          </w:tcPr>
          <w:p>
            <w:r>
              <w:rPr>
                <w:rFonts w:ascii="Calibri" w:hAnsi="Calibri"/>
                <w:b/>
                <w:color w:val="5B6472"/>
                <w:sz w:val="18"/>
              </w:rPr>
              <w:t>Configuration</w:t>
            </w:r>
          </w:p>
        </w:tc>
        <w:tc>
          <w:tcPr>
            <w:tcW w:type="dxa" w:w="1728"/>
            <w:shd w:val="clear" w:color="auto" w:fill="EEEBE3"/>
          </w:tcPr>
          <w:p>
            <w:r>
              <w:rPr>
                <w:rFonts w:ascii="Calibri" w:hAnsi="Calibri"/>
                <w:b/>
                <w:color w:val="5B6472"/>
                <w:sz w:val="18"/>
              </w:rPr>
              <w:t>≈ USD / mo</w:t>
            </w:r>
          </w:p>
        </w:tc>
      </w:tr>
      <w:tr>
        <w:tc>
          <w:tcPr>
            <w:tcW w:type="dxa" w:w="3312"/>
          </w:tcPr>
          <w:p>
            <w:r>
              <w:rPr>
                <w:rFonts w:ascii="Calibri" w:hAnsi="Calibri"/>
                <w:color w:val="1B1F2A"/>
                <w:sz w:val="19"/>
              </w:rPr>
              <w:t>NAT Gateway</w:t>
            </w:r>
          </w:p>
        </w:tc>
        <w:tc>
          <w:tcPr>
            <w:tcW w:type="dxa" w:w="4464"/>
          </w:tcPr>
          <w:p>
            <w:r>
              <w:rPr>
                <w:rFonts w:ascii="Calibri" w:hAnsi="Calibri"/>
                <w:color w:val="1B1F2A"/>
                <w:sz w:val="19"/>
              </w:rPr>
              <w:t>1 gateway + data processing</w:t>
            </w:r>
          </w:p>
        </w:tc>
        <w:tc>
          <w:tcPr>
            <w:tcW w:type="dxa" w:w="1728"/>
          </w:tcPr>
          <w:p>
            <w:r>
              <w:rPr>
                <w:rFonts w:ascii="Calibri" w:hAnsi="Calibri"/>
                <w:color w:val="1B1F2A"/>
                <w:sz w:val="19"/>
              </w:rPr>
              <w:t>32</w:t>
            </w:r>
          </w:p>
        </w:tc>
      </w:tr>
      <w:tr>
        <w:tc>
          <w:tcPr>
            <w:tcW w:type="dxa" w:w="3312"/>
          </w:tcPr>
          <w:p>
            <w:r>
              <w:rPr>
                <w:rFonts w:ascii="Calibri" w:hAnsi="Calibri"/>
                <w:color w:val="1B1F2A"/>
                <w:sz w:val="19"/>
              </w:rPr>
              <w:t>Application Load Balancer</w:t>
            </w:r>
          </w:p>
        </w:tc>
        <w:tc>
          <w:tcPr>
            <w:tcW w:type="dxa" w:w="4464"/>
          </w:tcPr>
          <w:p>
            <w:r>
              <w:rPr>
                <w:rFonts w:ascii="Calibri" w:hAnsi="Calibri"/>
                <w:color w:val="1B1F2A"/>
                <w:sz w:val="19"/>
              </w:rPr>
              <w:t>1 ALB + light LCU usage</w:t>
            </w:r>
          </w:p>
        </w:tc>
        <w:tc>
          <w:tcPr>
            <w:tcW w:type="dxa" w:w="1728"/>
          </w:tcPr>
          <w:p>
            <w:r>
              <w:rPr>
                <w:rFonts w:ascii="Calibri" w:hAnsi="Calibri"/>
                <w:color w:val="1B1F2A"/>
                <w:sz w:val="19"/>
              </w:rPr>
              <w:t>18</w:t>
            </w:r>
          </w:p>
        </w:tc>
      </w:tr>
      <w:tr>
        <w:tc>
          <w:tcPr>
            <w:tcW w:type="dxa" w:w="3312"/>
          </w:tcPr>
          <w:p>
            <w:r>
              <w:rPr>
                <w:rFonts w:ascii="Calibri" w:hAnsi="Calibri"/>
                <w:color w:val="1B1F2A"/>
                <w:sz w:val="19"/>
              </w:rPr>
              <w:t>RDS PostgreSQL</w:t>
            </w:r>
          </w:p>
        </w:tc>
        <w:tc>
          <w:tcPr>
            <w:tcW w:type="dxa" w:w="4464"/>
          </w:tcPr>
          <w:p>
            <w:r>
              <w:rPr>
                <w:rFonts w:ascii="Calibri" w:hAnsi="Calibri"/>
                <w:color w:val="1B1F2A"/>
                <w:sz w:val="19"/>
              </w:rPr>
              <w:t>db.t4g.micro, single-AZ, 20 GB gp3</w:t>
            </w:r>
          </w:p>
        </w:tc>
        <w:tc>
          <w:tcPr>
            <w:tcW w:type="dxa" w:w="1728"/>
          </w:tcPr>
          <w:p>
            <w:r>
              <w:rPr>
                <w:rFonts w:ascii="Calibri" w:hAnsi="Calibri"/>
                <w:color w:val="1B1F2A"/>
                <w:sz w:val="19"/>
              </w:rPr>
              <w:t>15</w:t>
            </w:r>
          </w:p>
        </w:tc>
      </w:tr>
      <w:tr>
        <w:tc>
          <w:tcPr>
            <w:tcW w:type="dxa" w:w="3312"/>
          </w:tcPr>
          <w:p>
            <w:r>
              <w:rPr>
                <w:rFonts w:ascii="Calibri" w:hAnsi="Calibri"/>
                <w:color w:val="1B1F2A"/>
                <w:sz w:val="19"/>
              </w:rPr>
              <w:t>ECS Fargate</w:t>
            </w:r>
          </w:p>
        </w:tc>
        <w:tc>
          <w:tcPr>
            <w:tcW w:type="dxa" w:w="4464"/>
          </w:tcPr>
          <w:p>
            <w:r>
              <w:rPr>
                <w:rFonts w:ascii="Calibri" w:hAnsi="Calibri"/>
                <w:color w:val="1B1F2A"/>
                <w:sz w:val="19"/>
              </w:rPr>
              <w:t>1–2 tasks × 0.25 vCPU / 0.5 GB</w:t>
            </w:r>
          </w:p>
        </w:tc>
        <w:tc>
          <w:tcPr>
            <w:tcW w:type="dxa" w:w="1728"/>
          </w:tcPr>
          <w:p>
            <w:r>
              <w:rPr>
                <w:rFonts w:ascii="Calibri" w:hAnsi="Calibri"/>
                <w:color w:val="1B1F2A"/>
                <w:sz w:val="19"/>
              </w:rPr>
              <w:t>9–18</w:t>
            </w:r>
          </w:p>
        </w:tc>
      </w:tr>
      <w:tr>
        <w:tc>
          <w:tcPr>
            <w:tcW w:type="dxa" w:w="3312"/>
          </w:tcPr>
          <w:p>
            <w:r>
              <w:rPr>
                <w:rFonts w:ascii="Calibri" w:hAnsi="Calibri"/>
                <w:color w:val="1B1F2A"/>
                <w:sz w:val="19"/>
              </w:rPr>
              <w:t>CloudFront + S3</w:t>
            </w:r>
          </w:p>
        </w:tc>
        <w:tc>
          <w:tcPr>
            <w:tcW w:type="dxa" w:w="4464"/>
          </w:tcPr>
          <w:p>
            <w:r>
              <w:rPr>
                <w:rFonts w:ascii="Calibri" w:hAnsi="Calibri"/>
                <w:color w:val="1B1F2A"/>
                <w:sz w:val="19"/>
              </w:rPr>
              <w:t>Low traffic SPA + previews</w:t>
            </w:r>
          </w:p>
        </w:tc>
        <w:tc>
          <w:tcPr>
            <w:tcW w:type="dxa" w:w="1728"/>
          </w:tcPr>
          <w:p>
            <w:r>
              <w:rPr>
                <w:rFonts w:ascii="Calibri" w:hAnsi="Calibri"/>
                <w:color w:val="1B1F2A"/>
                <w:sz w:val="19"/>
              </w:rPr>
              <w:t>3</w:t>
            </w:r>
          </w:p>
        </w:tc>
      </w:tr>
      <w:tr>
        <w:tc>
          <w:tcPr>
            <w:tcW w:type="dxa" w:w="3312"/>
          </w:tcPr>
          <w:p>
            <w:r>
              <w:rPr>
                <w:rFonts w:ascii="Calibri" w:hAnsi="Calibri"/>
                <w:color w:val="1B1F2A"/>
                <w:sz w:val="19"/>
              </w:rPr>
              <w:t>CloudWatch</w:t>
            </w:r>
          </w:p>
        </w:tc>
        <w:tc>
          <w:tcPr>
            <w:tcW w:type="dxa" w:w="4464"/>
          </w:tcPr>
          <w:p>
            <w:r>
              <w:rPr>
                <w:rFonts w:ascii="Calibri" w:hAnsi="Calibri"/>
                <w:color w:val="1B1F2A"/>
                <w:sz w:val="19"/>
              </w:rPr>
              <w:t>Logs + alarms</w:t>
            </w:r>
          </w:p>
        </w:tc>
        <w:tc>
          <w:tcPr>
            <w:tcW w:type="dxa" w:w="1728"/>
          </w:tcPr>
          <w:p>
            <w:r>
              <w:rPr>
                <w:rFonts w:ascii="Calibri" w:hAnsi="Calibri"/>
                <w:color w:val="1B1F2A"/>
                <w:sz w:val="19"/>
              </w:rPr>
              <w:t>3</w:t>
            </w:r>
          </w:p>
        </w:tc>
      </w:tr>
      <w:tr>
        <w:tc>
          <w:tcPr>
            <w:tcW w:type="dxa" w:w="3312"/>
          </w:tcPr>
          <w:p>
            <w:r>
              <w:rPr>
                <w:rFonts w:ascii="Calibri" w:hAnsi="Calibri"/>
                <w:color w:val="1B1F2A"/>
                <w:sz w:val="19"/>
              </w:rPr>
              <w:t>Secrets Manager</w:t>
            </w:r>
          </w:p>
        </w:tc>
        <w:tc>
          <w:tcPr>
            <w:tcW w:type="dxa" w:w="4464"/>
          </w:tcPr>
          <w:p>
            <w:r>
              <w:rPr>
                <w:rFonts w:ascii="Calibri" w:hAnsi="Calibri"/>
                <w:color w:val="1B1F2A"/>
                <w:sz w:val="19"/>
              </w:rPr>
              <w:t>3 secrets</w:t>
            </w:r>
          </w:p>
        </w:tc>
        <w:tc>
          <w:tcPr>
            <w:tcW w:type="dxa" w:w="1728"/>
          </w:tcPr>
          <w:p>
            <w:r>
              <w:rPr>
                <w:rFonts w:ascii="Calibri" w:hAnsi="Calibri"/>
                <w:color w:val="1B1F2A"/>
                <w:sz w:val="19"/>
              </w:rPr>
              <w:t>1.2</w:t>
            </w:r>
          </w:p>
        </w:tc>
      </w:tr>
      <w:tr>
        <w:tc>
          <w:tcPr>
            <w:tcW w:type="dxa" w:w="3312"/>
          </w:tcPr>
          <w:p>
            <w:r>
              <w:rPr>
                <w:rFonts w:ascii="Calibri" w:hAnsi="Calibri"/>
                <w:color w:val="1B1F2A"/>
                <w:sz w:val="19"/>
              </w:rPr>
              <w:t>Route 53</w:t>
            </w:r>
          </w:p>
        </w:tc>
        <w:tc>
          <w:tcPr>
            <w:tcW w:type="dxa" w:w="4464"/>
          </w:tcPr>
          <w:p>
            <w:r>
              <w:rPr>
                <w:rFonts w:ascii="Calibri" w:hAnsi="Calibri"/>
                <w:color w:val="1B1F2A"/>
                <w:sz w:val="19"/>
              </w:rPr>
              <w:t>1 hosted zone + queries</w:t>
            </w:r>
          </w:p>
        </w:tc>
        <w:tc>
          <w:tcPr>
            <w:tcW w:type="dxa" w:w="1728"/>
          </w:tcPr>
          <w:p>
            <w:r>
              <w:rPr>
                <w:rFonts w:ascii="Calibri" w:hAnsi="Calibri"/>
                <w:color w:val="1B1F2A"/>
                <w:sz w:val="19"/>
              </w:rPr>
              <w:t>1</w:t>
            </w:r>
          </w:p>
        </w:tc>
      </w:tr>
      <w:tr>
        <w:tc>
          <w:tcPr>
            <w:tcW w:type="dxa" w:w="3312"/>
          </w:tcPr>
          <w:p>
            <w:r>
              <w:rPr>
                <w:rFonts w:ascii="Calibri" w:hAnsi="Calibri"/>
                <w:color w:val="1B1F2A"/>
                <w:sz w:val="19"/>
              </w:rPr>
              <w:t>ECR</w:t>
            </w:r>
          </w:p>
        </w:tc>
        <w:tc>
          <w:tcPr>
            <w:tcW w:type="dxa" w:w="4464"/>
          </w:tcPr>
          <w:p>
            <w:r>
              <w:rPr>
                <w:rFonts w:ascii="Calibri" w:hAnsi="Calibri"/>
                <w:color w:val="1B1F2A"/>
                <w:sz w:val="19"/>
              </w:rPr>
              <w:t>Image storage</w:t>
            </w:r>
          </w:p>
        </w:tc>
        <w:tc>
          <w:tcPr>
            <w:tcW w:type="dxa" w:w="1728"/>
          </w:tcPr>
          <w:p>
            <w:r>
              <w:rPr>
                <w:rFonts w:ascii="Calibri" w:hAnsi="Calibri"/>
                <w:color w:val="1B1F2A"/>
                <w:sz w:val="19"/>
              </w:rPr>
              <w:t>&lt;1</w:t>
            </w:r>
          </w:p>
        </w:tc>
      </w:tr>
      <w:tr>
        <w:tc>
          <w:tcPr>
            <w:tcW w:type="dxa" w:w="3312"/>
          </w:tcPr>
          <w:p>
            <w:r>
              <w:rPr>
                <w:rFonts w:ascii="Calibri" w:hAnsi="Calibri"/>
                <w:color w:val="1B1F2A"/>
                <w:sz w:val="19"/>
              </w:rPr>
              <w:t>Estimated baseline</w:t>
            </w:r>
          </w:p>
        </w:tc>
        <w:tc>
          <w:tcPr>
            <w:tcW w:type="dxa" w:w="4464"/>
          </w:tcPr>
          <w:p>
            <w:r>
              <w:rPr>
                <w:rFonts w:ascii="Calibri" w:hAnsi="Calibri"/>
                <w:color w:val="1B1F2A"/>
                <w:sz w:val="19"/>
              </w:rPr>
            </w:r>
          </w:p>
        </w:tc>
        <w:tc>
          <w:tcPr>
            <w:tcW w:type="dxa" w:w="1728"/>
          </w:tcPr>
          <w:p>
            <w:r>
              <w:rPr>
                <w:rFonts w:ascii="Calibri" w:hAnsi="Calibri"/>
                <w:color w:val="1B1F2A"/>
                <w:sz w:val="19"/>
              </w:rPr>
              <w:t>≈ 85–90</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F6F1E8"/>
            <w:tcBorders>
              <w:left w:val="single" w:sz="18" w:color="2E6B40"/>
            </w:tcBorders>
          </w:tcPr>
          <w:p>
            <w:pPr>
              <w:spacing w:after="60"/>
            </w:pPr>
            <w:r>
              <w:rPr>
                <w:rFonts w:ascii="Consolas" w:hAnsi="Consolas"/>
                <w:b/>
                <w:color w:val="2E6B40"/>
                <w:sz w:val="16"/>
              </w:rPr>
              <w:t>WHERE THE MONEY GOES</w:t>
            </w:r>
          </w:p>
          <w:p>
            <w:r>
              <w:rPr>
                <w:color w:val="1B1F2A"/>
                <w:sz w:val="20"/>
              </w:rPr>
              <w:t>The NAT Gateway and ALB dominate the lean-tier bill, not compute. If this is truly pre-revenue, replacing the NAT Gateway with VPC endpoints (S3, ECR, Secrets Manager, CloudWatch Logs) removes most outbound-NAT traffic and can cut that line meaningfully — worth doing once the rest of the stack is stable.</w:t>
            </w:r>
          </w:p>
        </w:tc>
      </w:tr>
    </w:tbl>
    <w:p>
      <w:pPr>
        <w:spacing w:after="80"/>
      </w:pPr>
    </w:p>
    <w:p>
      <w:pPr>
        <w:spacing w:before="440" w:after="160"/>
        <w:pBdr>
          <w:bottom w:val="single" w:sz="6" w:space="4" w:color="D8DCD4"/>
        </w:pBdr>
      </w:pPr>
      <w:r>
        <w:rPr>
          <w:rFonts w:ascii="Consolas" w:hAnsi="Consolas"/>
          <w:b/>
          <w:color w:val="A8631F"/>
          <w:sz w:val="22"/>
        </w:rPr>
        <w:t xml:space="preserve">11  </w:t>
      </w:r>
      <w:r>
        <w:rPr>
          <w:rFonts w:ascii="Cambria" w:hAnsi="Cambria"/>
          <w:b/>
          <w:color w:val="1B1F2A"/>
          <w:sz w:val="30"/>
        </w:rPr>
        <w:t>Rollout phases</w:t>
      </w:r>
    </w:p>
    <w:p>
      <w:pPr>
        <w:spacing w:before="160" w:after="40"/>
      </w:pPr>
      <w:r>
        <w:rPr>
          <w:rFonts w:ascii="Consolas" w:hAnsi="Consolas"/>
          <w:b/>
          <w:color w:val="A8631F"/>
          <w:sz w:val="21"/>
        </w:rPr>
        <w:t xml:space="preserve">00  </w:t>
      </w:r>
      <w:r>
        <w:rPr>
          <w:b/>
          <w:color w:val="1B1F2A"/>
          <w:sz w:val="21"/>
        </w:rPr>
        <w:t>Fix config drift</w:t>
      </w:r>
    </w:p>
    <w:p>
      <w:pPr>
        <w:spacing w:after="40"/>
        <w:ind w:left="504"/>
      </w:pPr>
      <w:r>
        <w:rPr>
          <w:color w:val="5B6472"/>
          <w:sz w:val="20"/>
        </w:rPr>
        <w:t>Resolve the OPENROUTER_API_KEY / ANTHROPIC_API_KEY mismatch, pin Node 20 (engines field + .nvmrc), add a /health route, confirm hostname: "0.0.0.0" in src/index.ts.</w:t>
      </w:r>
    </w:p>
    <w:p>
      <w:pPr>
        <w:spacing w:after="120"/>
        <w:ind w:left="504"/>
      </w:pPr>
      <w:r>
        <w:rPr>
          <w:rFonts w:ascii="Consolas" w:hAnsi="Consolas"/>
          <w:color w:val="2F6F6B"/>
          <w:sz w:val="18"/>
        </w:rPr>
        <w:t>Output: A backend that's container-ready</w:t>
      </w:r>
    </w:p>
    <w:p>
      <w:pPr>
        <w:spacing w:before="160" w:after="40"/>
      </w:pPr>
      <w:r>
        <w:rPr>
          <w:rFonts w:ascii="Consolas" w:hAnsi="Consolas"/>
          <w:b/>
          <w:color w:val="A8631F"/>
          <w:sz w:val="21"/>
        </w:rPr>
        <w:t xml:space="preserve">01  </w:t>
      </w:r>
      <w:r>
        <w:rPr>
          <w:b/>
          <w:color w:val="1B1F2A"/>
          <w:sz w:val="21"/>
        </w:rPr>
        <w:t>Provision the network</w:t>
      </w:r>
    </w:p>
    <w:p>
      <w:pPr>
        <w:spacing w:after="40"/>
        <w:ind w:left="504"/>
      </w:pPr>
      <w:r>
        <w:rPr>
          <w:color w:val="5B6472"/>
          <w:sz w:val="20"/>
        </w:rPr>
        <w:t>VPC, 2 AZs, public/private subnets, 1 NAT Gateway, the three security groups.</w:t>
      </w:r>
    </w:p>
    <w:p>
      <w:pPr>
        <w:spacing w:after="120"/>
        <w:ind w:left="504"/>
      </w:pPr>
      <w:r>
        <w:rPr>
          <w:rFonts w:ascii="Consolas" w:hAnsi="Consolas"/>
          <w:color w:val="2F6F6B"/>
          <w:sz w:val="18"/>
        </w:rPr>
        <w:t>Output: Empty but correctly-shaped VPC</w:t>
      </w:r>
    </w:p>
    <w:p>
      <w:pPr>
        <w:spacing w:before="160" w:after="40"/>
      </w:pPr>
      <w:r>
        <w:rPr>
          <w:rFonts w:ascii="Consolas" w:hAnsi="Consolas"/>
          <w:b/>
          <w:color w:val="A8631F"/>
          <w:sz w:val="21"/>
        </w:rPr>
        <w:t xml:space="preserve">02  </w:t>
      </w:r>
      <w:r>
        <w:rPr>
          <w:b/>
          <w:color w:val="1B1F2A"/>
          <w:sz w:val="21"/>
        </w:rPr>
        <w:t>Stand up RDS</w:t>
      </w:r>
    </w:p>
    <w:p>
      <w:pPr>
        <w:spacing w:after="40"/>
        <w:ind w:left="504"/>
      </w:pPr>
      <w:r>
        <w:rPr>
          <w:color w:val="5B6472"/>
          <w:sz w:val="20"/>
        </w:rPr>
        <w:t>Create the instance in the private subnet group, generate an app-user (not master) credential, store it in Secrets Manager.</w:t>
      </w:r>
    </w:p>
    <w:p>
      <w:pPr>
        <w:spacing w:after="120"/>
        <w:ind w:left="504"/>
      </w:pPr>
      <w:r>
        <w:rPr>
          <w:rFonts w:ascii="Consolas" w:hAnsi="Consolas"/>
          <w:color w:val="2F6F6B"/>
          <w:sz w:val="18"/>
        </w:rPr>
        <w:t>Output: Reachable-only-from-VPC PostgreSQL</w:t>
      </w:r>
    </w:p>
    <w:p>
      <w:pPr>
        <w:spacing w:before="160" w:after="40"/>
      </w:pPr>
      <w:r>
        <w:rPr>
          <w:rFonts w:ascii="Consolas" w:hAnsi="Consolas"/>
          <w:b/>
          <w:color w:val="A8631F"/>
          <w:sz w:val="21"/>
        </w:rPr>
        <w:t xml:space="preserve">03  </w:t>
      </w:r>
      <w:r>
        <w:rPr>
          <w:b/>
          <w:color w:val="1B1F2A"/>
          <w:sz w:val="21"/>
        </w:rPr>
        <w:t>Containerize &amp; push</w:t>
      </w:r>
    </w:p>
    <w:p>
      <w:pPr>
        <w:spacing w:after="40"/>
        <w:ind w:left="504"/>
      </w:pPr>
      <w:r>
        <w:rPr>
          <w:color w:val="5B6472"/>
          <w:sz w:val="20"/>
        </w:rPr>
        <w:t>Add the Dockerfile, build locally, run migrations against RDS once via a local bastion/SSM tunnel to confirm connectivity, then push the image to ECR.</w:t>
      </w:r>
    </w:p>
    <w:p>
      <w:pPr>
        <w:spacing w:after="120"/>
        <w:ind w:left="504"/>
      </w:pPr>
      <w:r>
        <w:rPr>
          <w:rFonts w:ascii="Consolas" w:hAnsi="Consolas"/>
          <w:color w:val="2F6F6B"/>
          <w:sz w:val="18"/>
        </w:rPr>
        <w:t>Output: Working image in ECR</w:t>
      </w:r>
    </w:p>
    <w:p>
      <w:pPr>
        <w:spacing w:before="160" w:after="40"/>
      </w:pPr>
      <w:r>
        <w:rPr>
          <w:rFonts w:ascii="Consolas" w:hAnsi="Consolas"/>
          <w:b/>
          <w:color w:val="A8631F"/>
          <w:sz w:val="21"/>
        </w:rPr>
        <w:t xml:space="preserve">04  </w:t>
      </w:r>
      <w:r>
        <w:rPr>
          <w:b/>
          <w:color w:val="1B1F2A"/>
          <w:sz w:val="21"/>
        </w:rPr>
        <w:t>Deploy the backend</w:t>
      </w:r>
    </w:p>
    <w:p>
      <w:pPr>
        <w:spacing w:after="40"/>
        <w:ind w:left="504"/>
      </w:pPr>
      <w:r>
        <w:rPr>
          <w:color w:val="5B6472"/>
          <w:sz w:val="20"/>
        </w:rPr>
        <w:t>ALB, target group, ECS cluster/service/task definition, autoscaling policy. Point a temporary ALB DNS name at it and smoke-test before touching Route 53.</w:t>
      </w:r>
    </w:p>
    <w:p>
      <w:pPr>
        <w:spacing w:after="120"/>
        <w:ind w:left="504"/>
      </w:pPr>
      <w:r>
        <w:rPr>
          <w:rFonts w:ascii="Consolas" w:hAnsi="Consolas"/>
          <w:color w:val="2F6F6B"/>
          <w:sz w:val="18"/>
        </w:rPr>
        <w:t>Output: API reachable over HTTPS</w:t>
      </w:r>
    </w:p>
    <w:p>
      <w:pPr>
        <w:spacing w:before="160" w:after="40"/>
      </w:pPr>
      <w:r>
        <w:rPr>
          <w:rFonts w:ascii="Consolas" w:hAnsi="Consolas"/>
          <w:b/>
          <w:color w:val="A8631F"/>
          <w:sz w:val="21"/>
        </w:rPr>
        <w:t xml:space="preserve">05  </w:t>
      </w:r>
      <w:r>
        <w:rPr>
          <w:b/>
          <w:color w:val="1B1F2A"/>
          <w:sz w:val="21"/>
        </w:rPr>
        <w:t>Deploy the frontend</w:t>
      </w:r>
    </w:p>
    <w:p>
      <w:pPr>
        <w:spacing w:after="40"/>
        <w:ind w:left="504"/>
      </w:pPr>
      <w:r>
        <w:rPr>
          <w:color w:val="5B6472"/>
          <w:sz w:val="20"/>
        </w:rPr>
        <w:t>S3 bucket + OAC, CloudFront distribution, SPA error-page rewrites, ACM cert in us-east-1.</w:t>
      </w:r>
    </w:p>
    <w:p>
      <w:pPr>
        <w:spacing w:after="120"/>
        <w:ind w:left="504"/>
      </w:pPr>
      <w:r>
        <w:rPr>
          <w:rFonts w:ascii="Consolas" w:hAnsi="Consolas"/>
          <w:color w:val="2F6F6B"/>
          <w:sz w:val="18"/>
        </w:rPr>
        <w:t>Output: SPA reachable over HTTPS</w:t>
      </w:r>
    </w:p>
    <w:p>
      <w:pPr>
        <w:spacing w:before="160" w:after="40"/>
      </w:pPr>
      <w:r>
        <w:rPr>
          <w:rFonts w:ascii="Consolas" w:hAnsi="Consolas"/>
          <w:b/>
          <w:color w:val="A8631F"/>
          <w:sz w:val="21"/>
        </w:rPr>
        <w:t xml:space="preserve">06  </w:t>
      </w:r>
      <w:r>
        <w:rPr>
          <w:b/>
          <w:color w:val="1B1F2A"/>
          <w:sz w:val="21"/>
        </w:rPr>
        <w:t>DNS cutover</w:t>
      </w:r>
    </w:p>
    <w:p>
      <w:pPr>
        <w:spacing w:after="40"/>
        <w:ind w:left="504"/>
      </w:pPr>
      <w:r>
        <w:rPr>
          <w:color w:val="5B6472"/>
          <w:sz w:val="20"/>
        </w:rPr>
        <w:t>Route 53 hosted zone, api.example.com → ALB alias, app.example.com → CloudFront alias. Update FRONTEND_URL and the frontend's API base URL to the real domains and redeploy both.</w:t>
      </w:r>
    </w:p>
    <w:p>
      <w:pPr>
        <w:spacing w:after="120"/>
        <w:ind w:left="504"/>
      </w:pPr>
      <w:r>
        <w:rPr>
          <w:rFonts w:ascii="Consolas" w:hAnsi="Consolas"/>
          <w:color w:val="2F6F6B"/>
          <w:sz w:val="18"/>
        </w:rPr>
        <w:t>Output: Real domains live end-to-end</w:t>
      </w:r>
    </w:p>
    <w:p>
      <w:pPr>
        <w:spacing w:before="160" w:after="40"/>
      </w:pPr>
      <w:r>
        <w:rPr>
          <w:rFonts w:ascii="Consolas" w:hAnsi="Consolas"/>
          <w:b/>
          <w:color w:val="A8631F"/>
          <w:sz w:val="21"/>
        </w:rPr>
        <w:t xml:space="preserve">07  </w:t>
      </w:r>
      <w:r>
        <w:rPr>
          <w:b/>
          <w:color w:val="1B1F2A"/>
          <w:sz w:val="21"/>
        </w:rPr>
        <w:t>Wire up CI/CD</w:t>
      </w:r>
    </w:p>
    <w:p>
      <w:pPr>
        <w:spacing w:after="40"/>
        <w:ind w:left="504"/>
      </w:pPr>
      <w:r>
        <w:rPr>
          <w:color w:val="5B6472"/>
          <w:sz w:val="20"/>
        </w:rPr>
        <w:t>GitHub OIDC role, the two path-filtered workflows, migration-as-a-task step. Retire manual deploys entirely once a pipeline run succeeds.</w:t>
      </w:r>
    </w:p>
    <w:p>
      <w:pPr>
        <w:spacing w:after="120"/>
        <w:ind w:left="504"/>
      </w:pPr>
      <w:r>
        <w:rPr>
          <w:rFonts w:ascii="Consolas" w:hAnsi="Consolas"/>
          <w:color w:val="2F6F6B"/>
          <w:sz w:val="18"/>
        </w:rPr>
        <w:t>Output: Push to main → live</w:t>
      </w:r>
    </w:p>
    <w:p>
      <w:pPr>
        <w:spacing w:before="160" w:after="40"/>
      </w:pPr>
      <w:r>
        <w:rPr>
          <w:rFonts w:ascii="Consolas" w:hAnsi="Consolas"/>
          <w:b/>
          <w:color w:val="A8631F"/>
          <w:sz w:val="21"/>
        </w:rPr>
        <w:t xml:space="preserve">08  </w:t>
      </w:r>
      <w:r>
        <w:rPr>
          <w:b/>
          <w:color w:val="1B1F2A"/>
          <w:sz w:val="21"/>
        </w:rPr>
        <w:t>Observability &amp; hardening</w:t>
      </w:r>
    </w:p>
    <w:p>
      <w:pPr>
        <w:spacing w:after="40"/>
        <w:ind w:left="504"/>
      </w:pPr>
      <w:r>
        <w:rPr>
          <w:color w:val="5B6472"/>
          <w:sz w:val="20"/>
        </w:rPr>
        <w:t>CloudWatch alarms + SNS email, ALB access logs, WAF on CloudFront, confirm bcrypt cost factor, wire up npm audit in CI.</w:t>
      </w:r>
    </w:p>
    <w:p>
      <w:pPr>
        <w:spacing w:after="120"/>
        <w:ind w:left="504"/>
      </w:pPr>
      <w:r>
        <w:rPr>
          <w:rFonts w:ascii="Consolas" w:hAnsi="Consolas"/>
          <w:color w:val="2F6F6B"/>
          <w:sz w:val="18"/>
        </w:rPr>
        <w:t>Output: You find out about incidents before users do</w:t>
      </w:r>
    </w:p>
    <w:p>
      <w:pPr>
        <w:spacing w:before="160" w:after="40"/>
      </w:pPr>
      <w:r>
        <w:rPr>
          <w:rFonts w:ascii="Consolas" w:hAnsi="Consolas"/>
          <w:b/>
          <w:color w:val="A8631F"/>
          <w:sz w:val="21"/>
        </w:rPr>
        <w:t xml:space="preserve">09  </w:t>
      </w:r>
      <w:r>
        <w:rPr>
          <w:b/>
          <w:color w:val="1B1F2A"/>
          <w:sz w:val="21"/>
        </w:rPr>
        <w:t>Load-test &amp; sign off</w:t>
      </w:r>
    </w:p>
    <w:p>
      <w:pPr>
        <w:spacing w:after="40"/>
        <w:ind w:left="504"/>
      </w:pPr>
      <w:r>
        <w:rPr>
          <w:color w:val="5B6472"/>
          <w:sz w:val="20"/>
        </w:rPr>
        <w:t>A basic load test against staging (or a scaled-down prod-shaped env) to validate the autoscaling thresholds and RDS connection limits before calling it done.</w:t>
      </w:r>
    </w:p>
    <w:p>
      <w:pPr>
        <w:spacing w:after="120"/>
        <w:ind w:left="504"/>
      </w:pPr>
      <w:r>
        <w:rPr>
          <w:rFonts w:ascii="Consolas" w:hAnsi="Consolas"/>
          <w:color w:val="2F6F6B"/>
          <w:sz w:val="18"/>
        </w:rPr>
        <w:t>Output: Confidence, not guesses</w:t>
      </w:r>
    </w:p>
    <w:p>
      <w:pPr>
        <w:spacing w:before="440" w:after="160"/>
        <w:pBdr>
          <w:bottom w:val="single" w:sz="6" w:space="4" w:color="D8DCD4"/>
        </w:pBdr>
      </w:pPr>
      <w:r>
        <w:rPr>
          <w:rFonts w:ascii="Consolas" w:hAnsi="Consolas"/>
          <w:b/>
          <w:color w:val="A8631F"/>
          <w:sz w:val="22"/>
        </w:rPr>
        <w:t xml:space="preserve">12  </w:t>
      </w:r>
      <w:r>
        <w:rPr>
          <w:rFonts w:ascii="Cambria" w:hAnsi="Cambria"/>
          <w:b/>
          <w:color w:val="1B1F2A"/>
          <w:sz w:val="30"/>
        </w:rPr>
        <w:t>Rollback &amp; disaster recovery</w:t>
      </w:r>
    </w:p>
    <w:p>
      <w:pPr>
        <w:pStyle w:val="ListBullet"/>
        <w:spacing w:after="80"/>
        <w:ind w:left="360"/>
      </w:pPr>
      <w:r>
        <w:rPr>
          <w:b/>
          <w:color w:val="1B1F2A"/>
          <w:sz w:val="21"/>
        </w:rPr>
        <w:t xml:space="preserve">Backend: </w:t>
      </w:r>
      <w:r>
        <w:rPr>
          <w:sz w:val="21"/>
        </w:rPr>
        <w:t>ECS deployment circuit breaker auto-rolls-back a failed deploy; manual rollback is update-service pointed at the previous task definition revision (kept indefinitely by ECS).</w:t>
      </w:r>
    </w:p>
    <w:p>
      <w:pPr>
        <w:pStyle w:val="ListBullet"/>
        <w:spacing w:after="80"/>
        <w:ind w:left="360"/>
      </w:pPr>
      <w:r>
        <w:rPr>
          <w:b/>
          <w:color w:val="1B1F2A"/>
          <w:sz w:val="21"/>
        </w:rPr>
        <w:t xml:space="preserve">Database: </w:t>
      </w:r>
      <w:r>
        <w:rPr>
          <w:sz w:val="21"/>
        </w:rPr>
        <w:t>automated daily snapshots + point-in-time recovery; take an explicit manual snapshot immediately before any schema migration.</w:t>
      </w:r>
    </w:p>
    <w:p>
      <w:pPr>
        <w:pStyle w:val="ListBullet"/>
        <w:spacing w:after="80"/>
        <w:ind w:left="360"/>
      </w:pPr>
      <w:r>
        <w:rPr>
          <w:b/>
          <w:color w:val="1B1F2A"/>
          <w:sz w:val="21"/>
        </w:rPr>
        <w:t xml:space="preserve">Frontend: </w:t>
      </w:r>
      <w:r>
        <w:rPr>
          <w:sz w:val="21"/>
        </w:rPr>
        <w:t>S3 versioning on; worst case, re-run the CI job against the previous git commit — the build is reproducible, not hand-assembled.</w:t>
      </w:r>
    </w:p>
    <w:p>
      <w:pPr>
        <w:pStyle w:val="ListBullet"/>
        <w:spacing w:after="80"/>
        <w:ind w:left="360"/>
      </w:pPr>
      <w:r>
        <w:rPr>
          <w:b/>
          <w:color w:val="1B1F2A"/>
          <w:sz w:val="21"/>
        </w:rPr>
        <w:t xml:space="preserve">Migrations: </w:t>
      </w:r>
      <w:r>
        <w:rPr>
          <w:sz w:val="21"/>
        </w:rPr>
        <w:t>because migrations follow expand-contract (Section 04), an app rollback almost never requires a schema rollback too.</w:t>
      </w:r>
    </w:p>
    <w:p>
      <w:pPr>
        <w:spacing w:before="440" w:after="160"/>
        <w:pBdr>
          <w:bottom w:val="single" w:sz="6" w:space="4" w:color="D8DCD4"/>
        </w:pBdr>
      </w:pPr>
      <w:r>
        <w:rPr>
          <w:rFonts w:ascii="Consolas" w:hAnsi="Consolas"/>
          <w:b/>
          <w:color w:val="A8631F"/>
          <w:sz w:val="22"/>
        </w:rPr>
        <w:t xml:space="preserve">13  </w:t>
      </w:r>
      <w:r>
        <w:rPr>
          <w:rFonts w:ascii="Cambria" w:hAnsi="Cambria"/>
          <w:b/>
          <w:color w:val="1B1F2A"/>
          <w:sz w:val="30"/>
        </w:rPr>
        <w:t>Scale-up path</w:t>
      </w:r>
    </w:p>
    <w:p>
      <w:r>
        <w:rPr>
          <w:rFonts w:ascii="Calibri" w:hAnsi="Calibri"/>
          <w:color w:val="1B1F2A"/>
          <w:sz w:val="21"/>
        </w:rPr>
        <w:t>Everything above is deliberately sized for a pre-scale product. None of it requires a redesign to grow — each of these is an additive change:</w:t>
      </w:r>
    </w:p>
    <w:p>
      <w:pPr>
        <w:pStyle w:val="ListBullet"/>
        <w:spacing w:after="80"/>
        <w:ind w:left="360"/>
      </w:pPr>
      <w:r>
        <w:rPr>
          <w:b/>
          <w:color w:val="1B1F2A"/>
          <w:sz w:val="21"/>
        </w:rPr>
        <w:t xml:space="preserve">RDS Multi-AZ — </w:t>
      </w:r>
      <w:r>
        <w:rPr>
          <w:sz w:val="21"/>
        </w:rPr>
        <w:t>flip the flag; AWS handles the standby and failover.</w:t>
      </w:r>
    </w:p>
    <w:p>
      <w:pPr>
        <w:pStyle w:val="ListBullet"/>
        <w:spacing w:after="80"/>
        <w:ind w:left="360"/>
      </w:pPr>
      <w:r>
        <w:rPr>
          <w:b/>
          <w:color w:val="1B1F2A"/>
          <w:sz w:val="21"/>
        </w:rPr>
        <w:t xml:space="preserve">NAT Gateway per AZ — </w:t>
      </w:r>
      <w:r>
        <w:rPr>
          <w:sz w:val="21"/>
        </w:rPr>
        <w:t>removes the single-NAT failure domain noted in Section 02.</w:t>
      </w:r>
    </w:p>
    <w:p>
      <w:pPr>
        <w:pStyle w:val="ListBullet"/>
        <w:spacing w:after="80"/>
        <w:ind w:left="360"/>
      </w:pPr>
      <w:r>
        <w:rPr>
          <w:b/>
          <w:color w:val="1B1F2A"/>
          <w:sz w:val="21"/>
        </w:rPr>
        <w:t xml:space="preserve">Read replica </w:t>
      </w:r>
      <w:r>
        <w:rPr>
          <w:sz w:val="21"/>
        </w:rPr>
        <w:t>if the workload becomes read-heavy.</w:t>
      </w:r>
    </w:p>
    <w:p>
      <w:pPr>
        <w:pStyle w:val="ListBullet"/>
        <w:spacing w:after="80"/>
        <w:ind w:left="360"/>
      </w:pPr>
      <w:r>
        <w:rPr>
          <w:b/>
          <w:color w:val="1B1F2A"/>
          <w:sz w:val="21"/>
        </w:rPr>
        <w:t xml:space="preserve">Fargate Spot </w:t>
      </w:r>
      <w:r>
        <w:rPr>
          <w:sz w:val="21"/>
        </w:rPr>
        <w:t>mixed into the autoscaling group for cheaper burst capacity once traffic is predictable enough to tell steady-state from spikes.</w:t>
      </w:r>
    </w:p>
    <w:p>
      <w:pPr>
        <w:pStyle w:val="ListBullet"/>
        <w:spacing w:after="80"/>
        <w:ind w:left="360"/>
      </w:pPr>
      <w:r>
        <w:rPr>
          <w:b/>
          <w:color w:val="1B1F2A"/>
          <w:sz w:val="21"/>
        </w:rPr>
        <w:t xml:space="preserve">WAF on the ALB </w:t>
      </w:r>
      <w:r>
        <w:rPr>
          <w:sz w:val="21"/>
        </w:rPr>
        <w:t>as well as CloudFront, plus AWS Shield Advanced if the app becomes a DDoS target.</w:t>
      </w:r>
    </w:p>
    <w:p>
      <w:pPr>
        <w:pStyle w:val="ListBullet"/>
        <w:spacing w:after="80"/>
        <w:ind w:left="360"/>
      </w:pPr>
      <w:r>
        <w:rPr>
          <w:b/>
          <w:color w:val="1B1F2A"/>
          <w:sz w:val="21"/>
        </w:rPr>
        <w:t xml:space="preserve">ElastiCache (Redis) </w:t>
      </w:r>
      <w:r>
        <w:rPr>
          <w:sz w:val="21"/>
        </w:rPr>
        <w:t>if session storage or rate-limiting needs to move off in-process memory.</w:t>
      </w:r>
    </w:p>
    <w:p>
      <w:pPr>
        <w:pStyle w:val="ListBullet"/>
        <w:spacing w:after="80"/>
        <w:ind w:left="360"/>
      </w:pPr>
      <w:r>
        <w:rPr>
          <w:sz w:val="21"/>
        </w:rPr>
        <w:t>Multi-region is deliberately out of scope until there's a concrete latency or regulatory reason for it — it roughly doubles operational complexity.</w:t>
      </w:r>
    </w:p>
    <w:p>
      <w:pPr>
        <w:spacing w:before="360"/>
      </w:pPr>
      <w:r>
        <w:rPr>
          <w:rFonts w:ascii="Consolas" w:hAnsi="Consolas"/>
          <w:color w:val="5B6472"/>
          <w:sz w:val="16"/>
        </w:rPr>
        <w:t>prompt-library-backend  ·  AWS deployment plan  ·  us-east-1  ·  lean tier, HA-ready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color w:val="1B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