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Agreement: Acme GmbH</w:t>
      </w:r>
    </w:p>
    <w:p>
      <w:r>
        <w:t>Frame contract with Acme GmbH for maintenance services.</w:t>
      </w:r>
    </w:p>
    <w:p>
      <w:r>
        <w:t>Term ended 30 September 2026; no renewal clause was triggered.</w:t>
      </w:r>
    </w:p>
    <w:p>
      <w:pPr>
        <w:pStyle w:val="Heading2"/>
      </w:pPr>
      <w:r>
        <w:t>1. Scope of Work</w:t>
      </w:r>
    </w:p>
    <w:p>
      <w:r>
        <w:t>Acme GmbH provided maintenance and operational support for on-premise hardware.</w:t>
      </w:r>
    </w:p>
    <w:p>
      <w:pPr>
        <w:pStyle w:val="Heading2"/>
      </w:pPr>
      <w:r>
        <w:t>2. Invoicing and Payments</w:t>
      </w:r>
    </w:p>
    <w:p>
      <w:r>
        <w:t>Invoices were billed on a net-30 schedule. All pending vouchers were cleared.</w:t>
      </w:r>
    </w:p>
    <w:p>
      <w:pPr>
        <w:pStyle w:val="Heading2"/>
      </w:pPr>
      <w:r>
        <w:t>3. Expiration and Archival</w:t>
      </w:r>
    </w:p>
    <w:p>
      <w:r>
        <w:t>The agreement concluded on 30 September 2026. This contract is ready for historical archiving.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