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Urban Heat Island Mitigation Strategies in High-Density Districts</w:t>
      </w:r>
    </w:p>
    <w:p>
      <w:r>
        <w:t>Doctoral Dissertation - Draft Working Copy</w:t>
      </w:r>
    </w:p>
    <w:p>
      <w:pPr>
        <w:pStyle w:val="Heading2"/>
      </w:pPr>
      <w:r>
        <w:t>3.1 Introduction and Theoretical Framework</w:t>
      </w:r>
    </w:p>
    <w:p>
      <w:r>
        <w:t>Urban microclimates are heavily shaped by geometry and surface albedo. This chapter investigates district-level cooling interventions.</w:t>
      </w:r>
    </w:p>
    <w:p>
      <w:pPr>
        <w:pStyle w:val="Heading2"/>
      </w:pPr>
      <w:r>
        <w:t>3.2 Methodology: adapted from the open EU dataset (see climate-paper-v3).</w:t>
      </w:r>
    </w:p>
    <w:p>
      <w:r>
        <w:t>The comparative analysis builds directly on the EU urban climate study dataset across 14 cities. Normalisation follows standard rural baseline offsets.</w:t>
      </w:r>
    </w:p>
    <w:p>
      <w:pPr>
        <w:pStyle w:val="Heading2"/>
      </w:pPr>
      <w:r>
        <w:t>3.3 Normalisation and Metric Definitions</w:t>
      </w:r>
    </w:p>
    <w:p>
      <w:r>
        <w:t>Thermal flux metrics are normalized per hectare of impervious surface cover.</w:t>
      </w:r>
    </w:p>
    <w:p>
      <w:pPr>
        <w:pStyle w:val="Heading2"/>
      </w:pPr>
      <w:r>
        <w:t>3.4 Spatial Analysis Results</w:t>
      </w:r>
    </w:p>
    <w:p>
      <w:r>
        <w:t>TODO: complete regression modeling for section 3.4 and finalize temperature delta tables before the supervisor review meeting.</w:t>
      </w:r>
    </w:p>
    <w:p>
      <w:pPr>
        <w:pStyle w:val="Heading2"/>
      </w:pPr>
      <w:r>
        <w:t>3.5 Discussion and Policy Implications</w:t>
      </w:r>
    </w:p>
    <w:p>
      <w:r>
        <w:t>Zoning requirements incorporating green canopy corridors provide sustainable cooling.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