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C05E" w14:textId="27D62BC9" w:rsidR="00DB1956" w:rsidRPr="00541C04" w:rsidRDefault="00541C04" w:rsidP="00756036">
      <w:pPr>
        <w:pStyle w:val="Title"/>
        <w:rPr>
          <w:sz w:val="48"/>
          <w:lang w:val="en-GB"/>
        </w:rPr>
      </w:pPr>
      <w:r w:rsidRPr="00541C04">
        <w:rPr>
          <w:sz w:val="48"/>
          <w:lang w:val="en-GB"/>
        </w:rPr>
        <w:t xml:space="preserve">Interface File to </w:t>
      </w:r>
      <w:proofErr w:type="spellStart"/>
      <w:r w:rsidRPr="00541C04">
        <w:rPr>
          <w:sz w:val="48"/>
          <w:lang w:val="en-GB"/>
        </w:rPr>
        <w:t>NumeRITA</w:t>
      </w:r>
      <w:proofErr w:type="spellEnd"/>
      <w:r w:rsidRPr="00541C04">
        <w:rPr>
          <w:sz w:val="48"/>
          <w:lang w:val="en-GB"/>
        </w:rPr>
        <w:t xml:space="preserve"> for Compliance Cockpit</w:t>
      </w:r>
    </w:p>
    <w:p w14:paraId="5483ABCA" w14:textId="77777777" w:rsidR="00756036" w:rsidRPr="00541C04" w:rsidRDefault="00756036" w:rsidP="00DB1956">
      <w:pPr>
        <w:rPr>
          <w:lang w:eastAsia="en-US"/>
        </w:rPr>
      </w:pPr>
    </w:p>
    <w:p w14:paraId="5A6255D3" w14:textId="4EEEC059" w:rsidR="00756036" w:rsidRDefault="00541C04" w:rsidP="00DB1956">
      <w:pPr>
        <w:rPr>
          <w:lang w:eastAsia="en-US"/>
        </w:rPr>
      </w:pPr>
      <w:r>
        <w:rPr>
          <w:lang w:eastAsia="en-US"/>
        </w:rPr>
        <w:t xml:space="preserve">The interface file that CCPA will provide for </w:t>
      </w:r>
      <w:proofErr w:type="spellStart"/>
      <w:r>
        <w:rPr>
          <w:lang w:eastAsia="en-US"/>
        </w:rPr>
        <w:t>NumeRITA</w:t>
      </w:r>
      <w:proofErr w:type="spellEnd"/>
      <w:r>
        <w:rPr>
          <w:lang w:eastAsia="en-US"/>
        </w:rPr>
        <w:t xml:space="preserve"> compliance cockpit will have the layout of the object embedded here. </w:t>
      </w:r>
    </w:p>
    <w:bookmarkStart w:id="0" w:name="_MON_1626188513"/>
    <w:bookmarkEnd w:id="0"/>
    <w:p w14:paraId="38560141" w14:textId="11ACA25F" w:rsidR="00541C04" w:rsidRDefault="00E70D65" w:rsidP="00E70D65">
      <w:pPr>
        <w:jc w:val="center"/>
        <w:rPr>
          <w:lang w:eastAsia="en-US"/>
        </w:rPr>
      </w:pPr>
      <w:r>
        <w:rPr>
          <w:lang w:eastAsia="en-US"/>
        </w:rPr>
        <w:object w:dxaOrig="2069" w:dyaOrig="1320" w14:anchorId="26DDD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3.7pt;height:66.1pt" o:ole="">
            <v:imagedata r:id="rId7" o:title=""/>
          </v:shape>
          <o:OLEObject Type="Embed" ProgID="Excel.Sheet.12" ShapeID="_x0000_i1027" DrawAspect="Icon" ObjectID="_1626189587" r:id="rId8"/>
        </w:object>
      </w:r>
    </w:p>
    <w:p w14:paraId="4728EA7E" w14:textId="5B6E8BDB" w:rsidR="00541C04" w:rsidRDefault="00541C04" w:rsidP="00DB1956">
      <w:pPr>
        <w:rPr>
          <w:lang w:eastAsia="en-US"/>
        </w:rPr>
      </w:pPr>
      <w:r>
        <w:rPr>
          <w:lang w:eastAsia="en-US"/>
        </w:rPr>
        <w:t xml:space="preserve">Final format may be Excel or .csv, depending on the best option for </w:t>
      </w:r>
      <w:proofErr w:type="spellStart"/>
      <w:r>
        <w:rPr>
          <w:lang w:eastAsia="en-US"/>
        </w:rPr>
        <w:t>NumeRITA</w:t>
      </w:r>
      <w:proofErr w:type="spellEnd"/>
      <w:r>
        <w:rPr>
          <w:lang w:eastAsia="en-US"/>
        </w:rPr>
        <w:t>.</w:t>
      </w:r>
      <w:r w:rsidR="00E70D65">
        <w:rPr>
          <w:lang w:eastAsia="en-US"/>
        </w:rPr>
        <w:t xml:space="preserve"> The file currently contains about 260 records, and the final file is expected to contain about 5K. </w:t>
      </w:r>
    </w:p>
    <w:p w14:paraId="3AF84227" w14:textId="610E93BB" w:rsidR="00E70D65" w:rsidRDefault="00E70D65" w:rsidP="00DB1956">
      <w:pPr>
        <w:rPr>
          <w:lang w:eastAsia="en-US"/>
        </w:rPr>
      </w:pPr>
    </w:p>
    <w:p w14:paraId="0746444E" w14:textId="69A16C5D" w:rsidR="00E70D65" w:rsidRDefault="00E70D65" w:rsidP="00DB1956">
      <w:pPr>
        <w:rPr>
          <w:lang w:eastAsia="en-US"/>
        </w:rPr>
      </w:pPr>
      <w:r>
        <w:rPr>
          <w:lang w:eastAsia="en-US"/>
        </w:rPr>
        <w:t>What follows describes high level the way how the main visuals of the Compliance Cockpit (image from GDPR) would need to be derived from the provided input file.</w:t>
      </w:r>
    </w:p>
    <w:p w14:paraId="70C71714" w14:textId="20CD5EAB" w:rsidR="00E70D65" w:rsidRDefault="00E70D65" w:rsidP="00DB1956">
      <w:pPr>
        <w:rPr>
          <w:lang w:eastAsia="en-US"/>
        </w:rPr>
      </w:pPr>
    </w:p>
    <w:p w14:paraId="01B5781A" w14:textId="20C214B2" w:rsidR="00E70D65" w:rsidRDefault="00E70D65" w:rsidP="00DB1956">
      <w:pPr>
        <w:rPr>
          <w:lang w:eastAsia="en-US"/>
        </w:rPr>
      </w:pPr>
      <w:r w:rsidRPr="00E70D65">
        <w:rPr>
          <w:noProof/>
          <w:lang w:eastAsia="en-US"/>
        </w:rPr>
        <w:drawing>
          <wp:inline distT="0" distB="0" distL="0" distR="0" wp14:anchorId="4E18B6C9" wp14:editId="59B6DBD6">
            <wp:extent cx="5943600" cy="3619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12EE" w14:textId="1E9DE3D8" w:rsidR="00E70D65" w:rsidRDefault="00E70D65" w:rsidP="00DB1956">
      <w:pPr>
        <w:rPr>
          <w:lang w:eastAsia="en-US"/>
        </w:rPr>
      </w:pPr>
    </w:p>
    <w:p w14:paraId="2A3A9995" w14:textId="7D0AE6AD" w:rsidR="00E70D65" w:rsidRDefault="00E70D65" w:rsidP="00DB1956">
      <w:pPr>
        <w:rPr>
          <w:lang w:eastAsia="en-US"/>
        </w:rPr>
      </w:pPr>
      <w:r>
        <w:rPr>
          <w:lang w:eastAsia="en-US"/>
        </w:rPr>
        <w:t xml:space="preserve">Count of Processing activities comes from the count of the rows (distinct ID). </w:t>
      </w:r>
    </w:p>
    <w:p w14:paraId="26406B18" w14:textId="664F34F7" w:rsidR="00E70D65" w:rsidRDefault="00E70D65" w:rsidP="00DB1956">
      <w:pPr>
        <w:rPr>
          <w:lang w:eastAsia="en-US"/>
        </w:rPr>
      </w:pPr>
      <w:r w:rsidRPr="00E70D65">
        <w:rPr>
          <w:noProof/>
          <w:lang w:eastAsia="en-US"/>
        </w:rPr>
        <w:lastRenderedPageBreak/>
        <w:drawing>
          <wp:inline distT="0" distB="0" distL="0" distR="0" wp14:anchorId="6F606E1E" wp14:editId="45D70E5F">
            <wp:extent cx="5943600" cy="3619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DB80" w14:textId="3E56361B" w:rsidR="00E70D65" w:rsidRDefault="00E70D65" w:rsidP="00DB1956">
      <w:pPr>
        <w:rPr>
          <w:lang w:eastAsia="en-US"/>
        </w:rPr>
      </w:pPr>
    </w:p>
    <w:p w14:paraId="0C667AE2" w14:textId="6190506B" w:rsidR="00E70D65" w:rsidRDefault="00E70D65" w:rsidP="00DB1956">
      <w:pPr>
        <w:rPr>
          <w:lang w:eastAsia="en-US"/>
        </w:rPr>
      </w:pPr>
      <w:r>
        <w:rPr>
          <w:lang w:eastAsia="en-US"/>
        </w:rPr>
        <w:t xml:space="preserve">Count of completed compliance controls comes from the count of in scope compliance controls. Each Processing activity has the following block of compliance controls (each block having a status, a </w:t>
      </w:r>
      <w:proofErr w:type="gramStart"/>
      <w:r>
        <w:rPr>
          <w:lang w:eastAsia="en-US"/>
        </w:rPr>
        <w:t>criteria</w:t>
      </w:r>
      <w:proofErr w:type="gramEnd"/>
      <w:r>
        <w:rPr>
          <w:lang w:eastAsia="en-US"/>
        </w:rPr>
        <w:t xml:space="preserve"> and an evidence field): </w:t>
      </w:r>
    </w:p>
    <w:p w14:paraId="31DBF570" w14:textId="77777777" w:rsidR="00E70D65" w:rsidRDefault="00E70D65" w:rsidP="005136F1">
      <w:pPr>
        <w:pStyle w:val="ListParagraph"/>
        <w:numPr>
          <w:ilvl w:val="0"/>
          <w:numId w:val="5"/>
        </w:numPr>
        <w:rPr>
          <w:lang w:eastAsia="en-US"/>
        </w:rPr>
      </w:pPr>
      <w:r w:rsidRPr="00E70D65">
        <w:rPr>
          <w:lang w:eastAsia="en-US"/>
        </w:rPr>
        <w:t>Inventory</w:t>
      </w:r>
    </w:p>
    <w:p w14:paraId="32E5DE1C" w14:textId="77777777" w:rsidR="00E70D65" w:rsidRDefault="00E70D65" w:rsidP="005136F1">
      <w:pPr>
        <w:pStyle w:val="ListParagraph"/>
        <w:numPr>
          <w:ilvl w:val="0"/>
          <w:numId w:val="5"/>
        </w:numPr>
        <w:rPr>
          <w:lang w:eastAsia="en-US"/>
        </w:rPr>
      </w:pPr>
      <w:r w:rsidRPr="00E70D65">
        <w:rPr>
          <w:lang w:eastAsia="en-US"/>
        </w:rPr>
        <w:t>Lawfulness</w:t>
      </w:r>
    </w:p>
    <w:p w14:paraId="5F04096D" w14:textId="77777777" w:rsidR="00E70D65" w:rsidRDefault="00E70D65" w:rsidP="005136F1">
      <w:pPr>
        <w:pStyle w:val="ListParagraph"/>
        <w:numPr>
          <w:ilvl w:val="0"/>
          <w:numId w:val="5"/>
        </w:numPr>
        <w:rPr>
          <w:lang w:eastAsia="en-US"/>
        </w:rPr>
      </w:pPr>
      <w:r w:rsidRPr="00E70D65">
        <w:rPr>
          <w:lang w:eastAsia="en-US"/>
        </w:rPr>
        <w:t>Notice</w:t>
      </w:r>
    </w:p>
    <w:p w14:paraId="214CA1CA" w14:textId="77777777" w:rsidR="00E70D65" w:rsidRDefault="00E70D65" w:rsidP="005136F1">
      <w:pPr>
        <w:pStyle w:val="ListParagraph"/>
        <w:numPr>
          <w:ilvl w:val="0"/>
          <w:numId w:val="5"/>
        </w:numPr>
        <w:rPr>
          <w:lang w:eastAsia="en-US"/>
        </w:rPr>
      </w:pPr>
      <w:r w:rsidRPr="00E70D65">
        <w:rPr>
          <w:lang w:eastAsia="en-US"/>
        </w:rPr>
        <w:t>Minimization</w:t>
      </w:r>
    </w:p>
    <w:p w14:paraId="058D7A6B" w14:textId="77777777" w:rsidR="00E70D65" w:rsidRDefault="00E70D65" w:rsidP="005136F1">
      <w:pPr>
        <w:pStyle w:val="ListParagraph"/>
        <w:numPr>
          <w:ilvl w:val="0"/>
          <w:numId w:val="5"/>
        </w:numPr>
        <w:rPr>
          <w:lang w:eastAsia="en-US"/>
        </w:rPr>
      </w:pPr>
      <w:r w:rsidRPr="00E70D65">
        <w:rPr>
          <w:lang w:eastAsia="en-US"/>
        </w:rPr>
        <w:t>Data retention</w:t>
      </w:r>
    </w:p>
    <w:p w14:paraId="25D0AFB0" w14:textId="77777777" w:rsidR="00E70D65" w:rsidRDefault="00E70D65" w:rsidP="005136F1">
      <w:pPr>
        <w:pStyle w:val="ListParagraph"/>
        <w:numPr>
          <w:ilvl w:val="0"/>
          <w:numId w:val="5"/>
        </w:numPr>
        <w:rPr>
          <w:lang w:eastAsia="en-US"/>
        </w:rPr>
      </w:pPr>
      <w:r w:rsidRPr="00E70D65">
        <w:rPr>
          <w:lang w:eastAsia="en-US"/>
        </w:rPr>
        <w:t>Reasonable InfoSec</w:t>
      </w:r>
    </w:p>
    <w:p w14:paraId="2D33BCBF" w14:textId="4BDF0C6D" w:rsidR="00E70D65" w:rsidRDefault="00E70D65" w:rsidP="005136F1">
      <w:pPr>
        <w:pStyle w:val="ListParagraph"/>
        <w:numPr>
          <w:ilvl w:val="0"/>
          <w:numId w:val="5"/>
        </w:numPr>
        <w:rPr>
          <w:lang w:eastAsia="en-US"/>
        </w:rPr>
      </w:pPr>
      <w:r w:rsidRPr="00E70D65">
        <w:rPr>
          <w:lang w:eastAsia="en-US"/>
        </w:rPr>
        <w:t>Data breach response</w:t>
      </w:r>
      <w:r w:rsidR="005136F1">
        <w:rPr>
          <w:lang w:eastAsia="en-US"/>
        </w:rPr>
        <w:t>: always out of scope</w:t>
      </w:r>
    </w:p>
    <w:p w14:paraId="54FAAB8D" w14:textId="77777777" w:rsidR="00E70D65" w:rsidRDefault="00E70D65" w:rsidP="005136F1">
      <w:pPr>
        <w:pStyle w:val="ListParagraph"/>
        <w:numPr>
          <w:ilvl w:val="0"/>
          <w:numId w:val="5"/>
        </w:numPr>
        <w:rPr>
          <w:lang w:eastAsia="en-US"/>
        </w:rPr>
      </w:pPr>
      <w:r w:rsidRPr="00E70D65">
        <w:rPr>
          <w:lang w:eastAsia="en-US"/>
        </w:rPr>
        <w:t>Data Subject Rights</w:t>
      </w:r>
    </w:p>
    <w:p w14:paraId="786A05D0" w14:textId="5945F25D" w:rsidR="00E70D65" w:rsidRDefault="00E70D65" w:rsidP="005136F1">
      <w:pPr>
        <w:pStyle w:val="ListParagraph"/>
        <w:numPr>
          <w:ilvl w:val="0"/>
          <w:numId w:val="5"/>
        </w:numPr>
        <w:rPr>
          <w:lang w:eastAsia="en-US"/>
        </w:rPr>
      </w:pPr>
      <w:r w:rsidRPr="00E70D65">
        <w:rPr>
          <w:lang w:eastAsia="en-US"/>
        </w:rPr>
        <w:t>Vendors</w:t>
      </w:r>
      <w:r w:rsidR="005136F1">
        <w:rPr>
          <w:lang w:eastAsia="en-US"/>
        </w:rPr>
        <w:t>: in scope when [Vendor involved] = Yes</w:t>
      </w:r>
    </w:p>
    <w:p w14:paraId="5D6ED92E" w14:textId="7F27A665" w:rsidR="00E70D65" w:rsidRDefault="00E70D65" w:rsidP="005136F1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Employee Training</w:t>
      </w:r>
      <w:r w:rsidR="005136F1">
        <w:rPr>
          <w:lang w:eastAsia="en-US"/>
        </w:rPr>
        <w:t>: always out of scope</w:t>
      </w:r>
    </w:p>
    <w:p w14:paraId="59E145D7" w14:textId="77777777" w:rsidR="005136F1" w:rsidRDefault="005136F1" w:rsidP="005136F1">
      <w:pPr>
        <w:rPr>
          <w:lang w:eastAsia="en-US"/>
        </w:rPr>
      </w:pPr>
    </w:p>
    <w:p w14:paraId="5938F582" w14:textId="7BD179E6" w:rsidR="005136F1" w:rsidRDefault="005136F1" w:rsidP="005136F1">
      <w:pPr>
        <w:rPr>
          <w:lang w:eastAsia="en-US"/>
        </w:rPr>
      </w:pPr>
      <w:r>
        <w:rPr>
          <w:lang w:eastAsia="en-US"/>
        </w:rPr>
        <w:t xml:space="preserve">The inclusion in count or not is given by the “in scope” logics described above. The following statuses are considered in the “Complete” count: “In line with SCOPE”, “Deviation from SCOPE”. The following statuses are considered in the “Pending” count: “Not Started”, “Work in Progress”, {empty}. </w:t>
      </w:r>
    </w:p>
    <w:p w14:paraId="2E3E7394" w14:textId="7FA4F63B" w:rsidR="005136F1" w:rsidRDefault="005136F1" w:rsidP="005136F1">
      <w:pPr>
        <w:rPr>
          <w:lang w:eastAsia="en-US"/>
        </w:rPr>
      </w:pPr>
      <w:r>
        <w:rPr>
          <w:lang w:eastAsia="en-US"/>
        </w:rPr>
        <w:t>Total compliance is calculated as [total number of “complete” compliance controls] / [total number of compliance controls in scope].</w:t>
      </w:r>
    </w:p>
    <w:p w14:paraId="7687400C" w14:textId="3DB10E10" w:rsidR="005136F1" w:rsidRDefault="005136F1" w:rsidP="005136F1">
      <w:pPr>
        <w:rPr>
          <w:lang w:eastAsia="en-US"/>
        </w:rPr>
      </w:pPr>
    </w:p>
    <w:p w14:paraId="4C753F79" w14:textId="1D5ECBDE" w:rsidR="005136F1" w:rsidRPr="00541C04" w:rsidRDefault="005136F1" w:rsidP="005136F1">
      <w:pPr>
        <w:rPr>
          <w:lang w:eastAsia="en-US"/>
        </w:rPr>
      </w:pPr>
      <w:bookmarkStart w:id="1" w:name="_GoBack"/>
      <w:bookmarkEnd w:id="1"/>
      <w:r w:rsidRPr="005136F1">
        <w:rPr>
          <w:highlight w:val="yellow"/>
          <w:lang w:eastAsia="en-US"/>
        </w:rPr>
        <w:t>restart</w:t>
      </w:r>
    </w:p>
    <w:sectPr w:rsidR="005136F1" w:rsidRPr="0054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0A656" w14:textId="77777777" w:rsidR="005136F1" w:rsidRDefault="005136F1" w:rsidP="00A97480">
      <w:r>
        <w:separator/>
      </w:r>
    </w:p>
  </w:endnote>
  <w:endnote w:type="continuationSeparator" w:id="0">
    <w:p w14:paraId="0DCF3BBC" w14:textId="77777777" w:rsidR="005136F1" w:rsidRDefault="005136F1" w:rsidP="00A97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8C660" w14:textId="77777777" w:rsidR="005136F1" w:rsidRDefault="005136F1" w:rsidP="00A97480">
      <w:r>
        <w:separator/>
      </w:r>
    </w:p>
  </w:footnote>
  <w:footnote w:type="continuationSeparator" w:id="0">
    <w:p w14:paraId="11FE41F7" w14:textId="77777777" w:rsidR="005136F1" w:rsidRDefault="005136F1" w:rsidP="00A97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D3B2D"/>
    <w:multiLevelType w:val="hybridMultilevel"/>
    <w:tmpl w:val="347CD38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214880"/>
    <w:multiLevelType w:val="hybridMultilevel"/>
    <w:tmpl w:val="524212B2"/>
    <w:lvl w:ilvl="0" w:tplc="C4D83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A1E8C"/>
    <w:multiLevelType w:val="hybridMultilevel"/>
    <w:tmpl w:val="AC745BC4"/>
    <w:lvl w:ilvl="0" w:tplc="C4D83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B4B58"/>
    <w:multiLevelType w:val="hybridMultilevel"/>
    <w:tmpl w:val="4FA0FD76"/>
    <w:lvl w:ilvl="0" w:tplc="C4D83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F6363"/>
    <w:multiLevelType w:val="hybridMultilevel"/>
    <w:tmpl w:val="54ACB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56"/>
    <w:rsid w:val="000D50F3"/>
    <w:rsid w:val="001127CB"/>
    <w:rsid w:val="004D3744"/>
    <w:rsid w:val="005136F1"/>
    <w:rsid w:val="00541C04"/>
    <w:rsid w:val="006B170A"/>
    <w:rsid w:val="00746620"/>
    <w:rsid w:val="00756036"/>
    <w:rsid w:val="00A97480"/>
    <w:rsid w:val="00B3077D"/>
    <w:rsid w:val="00D41591"/>
    <w:rsid w:val="00DB1956"/>
    <w:rsid w:val="00E70D65"/>
    <w:rsid w:val="00EE1ACE"/>
    <w:rsid w:val="00F25E2E"/>
    <w:rsid w:val="00F3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3AA960"/>
  <w15:chartTrackingRefBased/>
  <w15:docId w15:val="{074C0C54-B155-45F1-AFA2-630A0499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956"/>
    <w:pPr>
      <w:spacing w:after="0" w:line="240" w:lineRule="auto"/>
    </w:pPr>
    <w:rPr>
      <w:rFonts w:ascii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603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5603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60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table" w:styleId="TableGrid">
    <w:name w:val="Table Grid"/>
    <w:basedOn w:val="TableNormal"/>
    <w:uiPriority w:val="39"/>
    <w:rsid w:val="0075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Gatti, Alessio</dc:creator>
  <cp:keywords/>
  <dc:description/>
  <cp:lastModifiedBy>Gatti, Alessio</cp:lastModifiedBy>
  <cp:revision>4</cp:revision>
  <dcterms:created xsi:type="dcterms:W3CDTF">2019-07-26T15:06:00Z</dcterms:created>
  <dcterms:modified xsi:type="dcterms:W3CDTF">2019-08-01T16:33:00Z</dcterms:modified>
</cp:coreProperties>
</file>