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8a9f99b26514e2440c8760c39a3092ff95d1eab"/>
    <w:p>
      <w:pPr>
        <w:pStyle w:val="Heading1"/>
      </w:pPr>
      <w:r>
        <w:t xml:space="preserve">AI Agent Framework: Stock Shortlisting Parameters for Indian Markets</w:t>
      </w:r>
    </w:p>
    <w:p>
      <w:pPr>
        <w:pStyle w:val="FirstParagraph"/>
      </w:pPr>
      <w:r>
        <w:t xml:space="preserve">To build an effective AI Agent for shortlisting Indian stocks, the architecture must integrate</w:t>
      </w:r>
      <w:r>
        <w:t xml:space="preserve"> </w:t>
      </w:r>
      <w:r>
        <w:rPr>
          <w:b/>
          <w:bCs/>
        </w:rPr>
        <w:t xml:space="preserve">quantifiable fundamental metrics</w:t>
      </w:r>
      <w:r>
        <w:t xml:space="preserve">,</w:t>
      </w:r>
      <w:r>
        <w:t xml:space="preserve"> </w:t>
      </w:r>
      <w:r>
        <w:rPr>
          <w:b/>
          <w:bCs/>
        </w:rPr>
        <w:t xml:space="preserve">technical momentum triggers</w:t>
      </w:r>
      <w:r>
        <w:t xml:space="preserve">, and</w:t>
      </w:r>
      <w:r>
        <w:t xml:space="preserve"> </w:t>
      </w:r>
      <w:r>
        <w:rPr>
          <w:b/>
          <w:bCs/>
        </w:rPr>
        <w:t xml:space="preserve">India-specific governance parameters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X5893cac746665f17723215c0d96653835aac519"/>
    <w:p>
      <w:pPr>
        <w:pStyle w:val="Heading2"/>
      </w:pPr>
      <w:r>
        <w:t xml:space="preserve">1. Fundamental Parameters (Financial Health &amp; Valuation)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/ 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Threshold /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Significance in the Indian 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Profitability &amp; Capital Efficiency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ROCE</w:t>
            </w:r>
            <w:r>
              <w:t xml:space="preserve"> </w:t>
            </w:r>
            <w:r>
              <w:t xml:space="preserve">(Return on Capital Employed)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  <m:r>
                <m:t>15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−</m:t>
              </m:r>
              <m:r>
                <m:t>20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Crucial metric for identifying high-quality, capital-efficient businesses capable of long-term compounding.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ROE</w:t>
            </w:r>
            <w:r>
              <w:t xml:space="preserve"> </w:t>
            </w:r>
            <w:r>
              <w:t xml:space="preserve">(Return on Equity)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(3–5 Year Average)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Measures how effectively management yields returns on shareholder capital.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Solvency &amp; Risk Mitigation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Debt-to-Equity Ratio (D/E)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r>
                <m:t>0.5</m:t>
              </m:r>
            </m:oMath>
            <w:r>
              <w:t xml:space="preserve"> </w:t>
            </w:r>
            <w:r>
              <w:t xml:space="preserve">(Ideally Debt-Free)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rates in India fluctuate with economic cycles; low debt reduces risk during credit contractions.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Interest Coverage Ratio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  <m:r>
                <m:t>3.0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Guarantees that operating cash flows comfortable service interest obligations.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Growth Metrics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Sales Growth</w:t>
            </w:r>
            <w:r>
              <w:t xml:space="preserve"> </w:t>
            </w:r>
            <w:r>
              <w:t xml:space="preserve">(YoY &amp; 3Y/5Y CAGR)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  <m:r>
                <m:t>10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−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Reflects top-line market share expansion in line with India’s GDP trajectory.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 Growth</w:t>
            </w:r>
            <w:r>
              <w:t xml:space="preserve"> </w:t>
            </w:r>
            <w:r>
              <w:t xml:space="preserve">(Profit After Tax CAGR)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  <m:r>
                <m:t>12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−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Ensures top-line growth flows through to earnings per share.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Valuation Metrics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P/E vs. Industry P/E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to or lower than Industry average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overpaying for overhyped growth.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PEG Ratio</w:t>
            </w:r>
            <w:r>
              <w:t xml:space="preserve"> </w:t>
            </w:r>
            <w:r>
              <w:t xml:space="preserve">(Price/Earnings-to-Growth)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r>
                <m:t>1.0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Adjusts P/E relative to actual earnings growth rates.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0b892553b38943bd30521dd39b26c48827a0880"/>
    <w:p>
      <w:pPr>
        <w:pStyle w:val="Heading2"/>
      </w:pPr>
      <w:r>
        <w:t xml:space="preserve">2. Promoter &amp; Ownership Structure (India-Specific Guardrails)</w:t>
      </w:r>
    </w:p>
    <w:p>
      <w:pPr>
        <w:pStyle w:val="FirstParagraph"/>
      </w:pPr>
      <w:r>
        <w:t xml:space="preserve">Due to promoter-driven corporate structures in India, monitoring promoter ownership and pledging is critical: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Promoter Holding:</w:t>
      </w:r>
      <w:r>
        <w:t xml:space="preserve"> </w:t>
      </w:r>
      <w:r>
        <w:t xml:space="preserve">Preferred</w:t>
      </w:r>
      <w:r>
        <w:t xml:space="preserve"> </w:t>
      </w:r>
      <m:oMath>
        <m:r>
          <m:rPr>
            <m:sty m:val="p"/>
          </m:rPr>
          <m:t>&gt;</m:t>
        </m:r>
        <m:r>
          <m:t>50</m:t>
        </m:r>
        <m:r>
          <m:rPr>
            <m:sty m:val="p"/>
          </m:rPr>
          <m:t>%</m:t>
        </m:r>
      </m:oMath>
      <w:r>
        <w:t xml:space="preserve">. Consistent reduction in promoter stake across sequential quarters is a primary red flag.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Promoter Pledging:</w:t>
      </w:r>
      <w:r>
        <w:t xml:space="preserve"> </w:t>
      </w:r>
      <m:oMath>
        <m:r>
          <m:rPr>
            <m:sty m:val="p"/>
          </m:rPr>
          <m:t>&lt;</m:t>
        </m:r>
        <m:r>
          <m:t>5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(Ideally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%</m:t>
        </m:r>
      </m:oMath>
      <w:r>
        <w:rPr>
          <w:b/>
          <w:bCs/>
        </w:rPr>
        <w:t xml:space="preserve">)</w:t>
      </w:r>
      <w:r>
        <w:t xml:space="preserve">. High pledging exposes the stock to aggressive price cascades upon margin calls.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Institutional Flow (FII &amp; DII):</w:t>
      </w:r>
      <w:r>
        <w:t xml:space="preserve"> </w:t>
      </w:r>
      <w:r>
        <w:t xml:space="preserve">Quarterly increases in</w:t>
      </w:r>
      <w:r>
        <w:t xml:space="preserve"> </w:t>
      </w:r>
      <w:r>
        <w:rPr>
          <w:b/>
          <w:bCs/>
        </w:rPr>
        <w:t xml:space="preserve">FII</w:t>
      </w:r>
      <w:r>
        <w:t xml:space="preserve"> </w:t>
      </w:r>
      <w:r>
        <w:t xml:space="preserve">(Foreign Institutional Investor) and</w:t>
      </w:r>
      <w:r>
        <w:t xml:space="preserve"> </w:t>
      </w:r>
      <w:r>
        <w:rPr>
          <w:b/>
          <w:bCs/>
        </w:rPr>
        <w:t xml:space="preserve">DII</w:t>
      </w:r>
      <w:r>
        <w:t xml:space="preserve"> </w:t>
      </w:r>
      <w:r>
        <w:t xml:space="preserve">(Domestic Mutual Fund) stakes signal institutional conviction.</w:t>
      </w:r>
    </w:p>
    <w:p>
      <w:r>
        <w:pict>
          <v:rect style="width:0;height:1.5pt" o:hralign="center" o:hrstd="t" o:hr="t"/>
        </w:pict>
      </w:r>
    </w:p>
    <w:bookmarkEnd w:id="10"/>
    <w:bookmarkStart w:id="11" w:name="liquidity-technical-momentum-rules"/>
    <w:p>
      <w:pPr>
        <w:pStyle w:val="Heading2"/>
      </w:pPr>
      <w:r>
        <w:t xml:space="preserve">3. Liquidity &amp; Technical Momentum Rules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Liquidity Filter:</w:t>
      </w:r>
      <w:r>
        <w:t xml:space="preserve"> </w:t>
      </w:r>
      <w:r>
        <w:t xml:space="preserve">Minimum average daily trading value</w:t>
      </w:r>
      <w:r>
        <w:t xml:space="preserve"> </w:t>
      </w:r>
      <m:oMath>
        <m:r>
          <m:rPr>
            <m:sty m:val="p"/>
          </m:rPr>
          <m:t>&gt;</m:t>
        </m:r>
        <m:r>
          <m:rPr>
            <m:nor/>
            <m:sty m:val="p"/>
          </m:rPr>
          <m:t>₹1–2 Crore</m:t>
        </m:r>
      </m:oMath>
      <w:r>
        <w:t xml:space="preserve"> </w:t>
      </w:r>
      <w:r>
        <w:t xml:space="preserve">to minimize slippage and filter out illiquid micro-caps.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Trend &amp; Momentum Filters: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200-day Simple Moving Average (SMA):</w:t>
      </w:r>
      <w:r>
        <w:t xml:space="preserve"> </w:t>
      </w:r>
      <w:r>
        <w:t xml:space="preserve">Stock price maintained above the 200 SMA signals a secular bull trend.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52-Week High Proximity:</w:t>
      </w:r>
      <w:r>
        <w:t xml:space="preserve"> </w:t>
      </w:r>
      <w:r>
        <w:t xml:space="preserve">Stocks trading within</w:t>
      </w:r>
      <w:r>
        <w:t xml:space="preserve"> </w:t>
      </w:r>
      <w:r>
        <w:rPr>
          <w:b/>
          <w:bCs/>
        </w:rPr>
        <w:t xml:space="preserve">15–20%</w:t>
      </w:r>
      <w:r>
        <w:t xml:space="preserve"> </w:t>
      </w:r>
      <w:r>
        <w:t xml:space="preserve">of 52-week highs frequently show strong momentum.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Market Capitalization Classification: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Large Cap:</w:t>
      </w:r>
      <w:r>
        <w:t xml:space="preserve"> </w:t>
      </w:r>
      <m:oMath>
        <m:r>
          <m:rPr>
            <m:sty m:val="p"/>
          </m:rPr>
          <m:t>&gt;</m:t>
        </m:r>
        <m:r>
          <m:rPr>
            <m:nor/>
            <m:sty m:val="p"/>
          </m:rPr>
          <m:t>₹20,000 Cr</m:t>
        </m:r>
      </m:oMath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Mid Cap:</w:t>
      </w:r>
      <w:r>
        <w:t xml:space="preserve"> </w:t>
      </w:r>
      <m:oMath>
        <m:r>
          <m:rPr>
            <m:nor/>
            <m:sty m:val="p"/>
          </m:rPr>
          <m:t>₹5,000 Cr</m:t>
        </m:r>
        <m:r>
          <m:rPr>
            <m:sty m:val="p"/>
          </m:rPr>
          <m:t>−</m:t>
        </m:r>
        <m:r>
          <m:rPr>
            <m:nor/>
            <m:sty m:val="p"/>
          </m:rPr>
          <m:t>₹20,000 Cr</m:t>
        </m:r>
      </m:oMath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Small Cap:</w:t>
      </w:r>
      <w:r>
        <w:t xml:space="preserve"> </w:t>
      </w:r>
      <m:oMath>
        <m:r>
          <m:rPr>
            <m:sty m:val="p"/>
          </m:rPr>
          <m:t>&lt;</m:t>
        </m:r>
        <m:r>
          <m:rPr>
            <m:nor/>
            <m:sty m:val="p"/>
          </m:rPr>
          <m:t>₹5,000 Cr</m:t>
        </m:r>
      </m:oMath>
    </w:p>
    <w:p>
      <w:r>
        <w:pict>
          <v:rect style="width:0;height:1.5pt" o:hralign="center" o:hrstd="t" o:hr="t"/>
        </w:pict>
      </w:r>
    </w:p>
    <w:bookmarkEnd w:id="11"/>
    <w:bookmarkStart w:id="12" w:name="X11524f4c1a18b767f1b71981e6f61fa005937e7"/>
    <w:p>
      <w:pPr>
        <w:pStyle w:val="Heading2"/>
      </w:pPr>
      <w:r>
        <w:t xml:space="preserve">4. Qualitative &amp; Sentiment Metrics (NLP / LLM Integration)</w:t>
      </w:r>
    </w:p>
    <w:p>
      <w:pPr>
        <w:pStyle w:val="FirstParagraph"/>
      </w:pPr>
      <w:r>
        <w:t xml:space="preserve">Your AI Agent can process unstructured data sources to complement quantitative data: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Earnings Call Transcripts (Concalls):</w:t>
      </w:r>
      <w:r>
        <w:t xml:space="preserve"> </w:t>
      </w:r>
      <w:r>
        <w:t xml:space="preserve">Extract guidance on future revenue goals, CAPEX timelines, and operating margin outlooks.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Governance Scans:</w:t>
      </w:r>
      <w:r>
        <w:t xml:space="preserve"> </w:t>
      </w:r>
      <w:r>
        <w:t xml:space="preserve">Detect auditor resignations, regulatory penalties from SEBI, or qualified audit opinions in annual report footnotes.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News &amp; Sectoral Sentiment:</w:t>
      </w:r>
      <w:r>
        <w:t xml:space="preserve"> </w:t>
      </w:r>
      <w:r>
        <w:t xml:space="preserve">Measure sentiment scores from major financial portals (e.g., Moneycontrol, Economic Times).</w:t>
      </w:r>
    </w:p>
    <w:p>
      <w:r>
        <w:pict>
          <v:rect style="width:0;height:1.5pt" o:hralign="center" o:hrstd="t" o:hr="t"/>
        </w:pict>
      </w:r>
    </w:p>
    <w:bookmarkEnd w:id="12"/>
    <w:bookmarkStart w:id="13" w:name="proposed-ai-agent-architecture"/>
    <w:p>
      <w:pPr>
        <w:pStyle w:val="Heading2"/>
      </w:pPr>
      <w:r>
        <w:t xml:space="preserve">Proposed AI Agent Architecture</w:t>
      </w:r>
    </w:p>
    <w:p>
      <w:pPr>
        <w:pStyle w:val="SourceCode"/>
      </w:pPr>
      <w:r>
        <w:rPr>
          <w:rStyle w:val="VerbatimChar"/>
        </w:rPr>
        <w:t xml:space="preserve">                       [ Data Ingestion Layer ]</w:t>
      </w:r>
      <w:r>
        <w:br/>
      </w:r>
      <w:r>
        <w:rPr>
          <w:rStyle w:val="VerbatimChar"/>
        </w:rPr>
        <w:t xml:space="preserve">        (NSE/BSE APIs, Screener Data, Financial Statements)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[ Quantitative Screening Engine ]</w:t>
      </w:r>
      <w:r>
        <w:br/>
      </w:r>
      <w:r>
        <w:rPr>
          <w:rStyle w:val="VerbatimChar"/>
        </w:rPr>
        <w:t xml:space="preserve">           (ROCE &gt; 15%, D/E &lt; 0.5, Pledging = 0%, Vol &gt; ₹1Cr)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[ Qualitative &amp; NLP Agent (LLM) ]</w:t>
      </w:r>
      <w:r>
        <w:br/>
      </w:r>
      <w:r>
        <w:rPr>
          <w:rStyle w:val="VerbatimChar"/>
        </w:rPr>
        <w:t xml:space="preserve">          (Concall Summaries, Governance Checks, News Sentiment)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[ Final Scoring &amp; Shortlist ]</w:t>
      </w:r>
      <w:r>
        <w:br/>
      </w:r>
      <w:r>
        <w:rPr>
          <w:rStyle w:val="VerbatimChar"/>
        </w:rPr>
        <w:t xml:space="preserve">             (Ranked stock output with clear investment thesis)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2026-10-20T08:47:31Z</dcterms:created>
  <dcterms:modified xsi:type="dcterms:W3CDTF">2026-10-20T08:47:31Z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