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16199" cy="33994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99" cy="3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2085044</wp:posOffset>
            </wp:positionH>
            <wp:positionV relativeFrom="paragraph">
              <wp:posOffset>303618</wp:posOffset>
            </wp:positionV>
            <wp:extent cx="4418522" cy="1028700"/>
            <wp:effectExtent l="0" t="0" r="0" b="0"/>
            <wp:wrapTopAndBottom/>
            <wp:docPr id="2" name="Image 2" descr="PUSH Collective ..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PUSH Collective ..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52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27"/>
        <w:rPr>
          <w:rFonts w:ascii="Times New Roman"/>
          <w:sz w:val="34"/>
        </w:rPr>
      </w:pPr>
    </w:p>
    <w:p>
      <w:pPr>
        <w:pStyle w:val="Title"/>
      </w:pPr>
      <w:r>
        <w:rPr/>
        <w:t>Monitoring</w:t>
      </w:r>
      <w:r>
        <w:rPr>
          <w:spacing w:val="-7"/>
        </w:rPr>
        <w:t> </w:t>
      </w:r>
      <w:r>
        <w:rPr/>
        <w:t>Alerts</w:t>
      </w:r>
      <w:r>
        <w:rPr>
          <w:spacing w:val="-4"/>
        </w:rPr>
        <w:t> </w:t>
      </w:r>
      <w:r>
        <w:rPr>
          <w:spacing w:val="-2"/>
        </w:rPr>
        <w:t>Setup</w:t>
      </w:r>
    </w:p>
    <w:p>
      <w:pPr>
        <w:spacing w:before="121"/>
        <w:ind w:left="0" w:right="595" w:firstLine="0"/>
        <w:jc w:val="center"/>
        <w:rPr>
          <w:rFonts w:ascii="Verdana"/>
          <w:sz w:val="24"/>
        </w:rPr>
      </w:pPr>
      <w:r>
        <w:rPr>
          <w:rFonts w:ascii="Verdana"/>
          <w:sz w:val="24"/>
        </w:rPr>
        <w:t>Azure</w:t>
      </w:r>
      <w:r>
        <w:rPr>
          <w:rFonts w:ascii="Verdana"/>
          <w:spacing w:val="-3"/>
          <w:sz w:val="24"/>
        </w:rPr>
        <w:t> </w:t>
      </w:r>
      <w:r>
        <w:rPr>
          <w:rFonts w:ascii="Verdana"/>
          <w:spacing w:val="-2"/>
          <w:sz w:val="24"/>
        </w:rPr>
        <w:t>Integration</w:t>
      </w:r>
    </w:p>
    <w:p>
      <w:pPr>
        <w:pStyle w:val="BodyText"/>
        <w:spacing w:before="168"/>
        <w:rPr>
          <w:rFonts w:ascii="Verdana"/>
          <w:sz w:val="24"/>
        </w:rPr>
      </w:pPr>
    </w:p>
    <w:p>
      <w:pPr>
        <w:pStyle w:val="Heading2"/>
      </w:pPr>
      <w:r>
        <w:rPr/>
        <w:t>Document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pStyle w:val="BodyText"/>
        <w:spacing w:before="165"/>
        <w:rPr>
          <w:rFonts w:ascii="Verdana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Document</w:t>
      </w:r>
      <w:r>
        <w:rPr>
          <w:rFonts w:ascii="Verdana"/>
          <w:b/>
          <w:spacing w:val="-6"/>
          <w:sz w:val="18"/>
        </w:rPr>
        <w:t> </w:t>
      </w:r>
      <w:r>
        <w:rPr>
          <w:rFonts w:ascii="Verdana"/>
          <w:b/>
          <w:spacing w:val="-2"/>
          <w:sz w:val="18"/>
        </w:rPr>
        <w:t>Information</w:t>
      </w:r>
    </w:p>
    <w:p>
      <w:pPr>
        <w:pStyle w:val="BodyText"/>
        <w:spacing w:before="11" w:after="1"/>
        <w:rPr>
          <w:rFonts w:ascii="Verdana"/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1"/>
        <w:gridCol w:w="7158"/>
      </w:tblGrid>
      <w:tr>
        <w:trPr>
          <w:trHeight w:val="400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Document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158" w:type="dxa"/>
          </w:tcPr>
          <w:p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Monitoring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Alerts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</w:p>
        </w:tc>
      </w:tr>
      <w:tr>
        <w:trPr>
          <w:trHeight w:val="337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158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z w:val="18"/>
              </w:rPr>
              <w:t>PAPL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Managed</w:t>
            </w:r>
            <w:r>
              <w:rPr>
                <w:spacing w:val="-2"/>
                <w:sz w:val="18"/>
              </w:rPr>
              <w:t> Services</w:t>
            </w:r>
          </w:p>
        </w:tc>
      </w:tr>
      <w:tr>
        <w:trPr>
          <w:trHeight w:val="338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Client</w:t>
            </w:r>
          </w:p>
        </w:tc>
        <w:tc>
          <w:tcPr>
            <w:tcW w:w="7158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z w:val="18"/>
              </w:rPr>
              <w:t>Perth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Airport</w:t>
            </w:r>
          </w:p>
        </w:tc>
      </w:tr>
      <w:tr>
        <w:trPr>
          <w:trHeight w:val="340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Flight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Document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Author</w:t>
            </w:r>
          </w:p>
        </w:tc>
        <w:tc>
          <w:tcPr>
            <w:tcW w:w="7158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z w:val="18"/>
              </w:rPr>
              <w:t>Kishore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Kumar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R</w:t>
            </w:r>
          </w:p>
        </w:tc>
      </w:tr>
      <w:tr>
        <w:trPr>
          <w:trHeight w:val="338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Document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38" w:hRule="atLeast"/>
        </w:trPr>
        <w:tc>
          <w:tcPr>
            <w:tcW w:w="2831" w:type="dxa"/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Document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7158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Draft</w:t>
            </w:r>
          </w:p>
        </w:tc>
      </w:tr>
      <w:tr>
        <w:trPr>
          <w:trHeight w:val="340" w:hRule="atLeast"/>
        </w:trPr>
        <w:tc>
          <w:tcPr>
            <w:tcW w:w="2831" w:type="dxa"/>
          </w:tcPr>
          <w:p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Released</w:t>
            </w:r>
          </w:p>
        </w:tc>
        <w:tc>
          <w:tcPr>
            <w:tcW w:w="7158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17th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Dec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2025</w:t>
            </w:r>
          </w:p>
        </w:tc>
      </w:tr>
    </w:tbl>
    <w:p>
      <w:pPr>
        <w:pStyle w:val="BodyText"/>
        <w:spacing w:before="121"/>
        <w:rPr>
          <w:rFonts w:ascii="Verdana"/>
          <w:b/>
          <w:sz w:val="18"/>
        </w:rPr>
      </w:pPr>
    </w:p>
    <w:p>
      <w:pPr>
        <w:spacing w:before="0"/>
        <w:ind w:left="360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Document</w:t>
      </w:r>
      <w:r>
        <w:rPr>
          <w:rFonts w:ascii="Verdana"/>
          <w:b/>
          <w:spacing w:val="-5"/>
          <w:sz w:val="18"/>
        </w:rPr>
        <w:t> </w:t>
      </w:r>
      <w:r>
        <w:rPr>
          <w:rFonts w:ascii="Verdana"/>
          <w:b/>
          <w:sz w:val="18"/>
        </w:rPr>
        <w:t>Edit</w:t>
      </w:r>
      <w:r>
        <w:rPr>
          <w:rFonts w:ascii="Verdana"/>
          <w:b/>
          <w:spacing w:val="-3"/>
          <w:sz w:val="18"/>
        </w:rPr>
        <w:t> </w:t>
      </w:r>
      <w:r>
        <w:rPr>
          <w:rFonts w:ascii="Verdana"/>
          <w:b/>
          <w:spacing w:val="-2"/>
          <w:sz w:val="18"/>
        </w:rPr>
        <w:t>History</w:t>
      </w:r>
    </w:p>
    <w:p>
      <w:pPr>
        <w:pStyle w:val="BodyText"/>
        <w:spacing w:before="11"/>
        <w:rPr>
          <w:rFonts w:ascii="Verdana"/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4"/>
        <w:gridCol w:w="1891"/>
        <w:gridCol w:w="3420"/>
        <w:gridCol w:w="3451"/>
      </w:tblGrid>
      <w:tr>
        <w:trPr>
          <w:trHeight w:val="318" w:hRule="atLeast"/>
        </w:trPr>
        <w:tc>
          <w:tcPr>
            <w:tcW w:w="1224" w:type="dxa"/>
            <w:shd w:val="clear" w:color="auto" w:fill="000000"/>
          </w:tcPr>
          <w:p>
            <w:pPr>
              <w:pStyle w:val="TableParagraph"/>
              <w:spacing w:before="54"/>
              <w:ind w:left="10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Version</w:t>
            </w:r>
          </w:p>
        </w:tc>
        <w:tc>
          <w:tcPr>
            <w:tcW w:w="1891" w:type="dxa"/>
            <w:shd w:val="clear" w:color="auto" w:fill="000000"/>
          </w:tcPr>
          <w:p>
            <w:pPr>
              <w:pStyle w:val="TableParagraph"/>
              <w:spacing w:before="54"/>
              <w:ind w:left="10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3420" w:type="dxa"/>
            <w:shd w:val="clear" w:color="auto" w:fill="000000"/>
          </w:tcPr>
          <w:p>
            <w:pPr>
              <w:pStyle w:val="TableParagraph"/>
              <w:spacing w:before="54"/>
              <w:ind w:left="10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Additions/Modifications</w:t>
            </w:r>
          </w:p>
        </w:tc>
        <w:tc>
          <w:tcPr>
            <w:tcW w:w="3451" w:type="dxa"/>
            <w:shd w:val="clear" w:color="auto" w:fill="000000"/>
          </w:tcPr>
          <w:p>
            <w:pPr>
              <w:pStyle w:val="TableParagraph"/>
              <w:spacing w:before="54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Prepared/Revised</w:t>
            </w:r>
            <w:r>
              <w:rPr>
                <w:b/>
                <w:color w:val="FFFFFF"/>
                <w:spacing w:val="-11"/>
                <w:sz w:val="17"/>
              </w:rPr>
              <w:t> </w:t>
            </w:r>
            <w:r>
              <w:rPr>
                <w:b/>
                <w:color w:val="FFFFFF"/>
                <w:spacing w:val="-5"/>
                <w:sz w:val="17"/>
              </w:rPr>
              <w:t>by</w:t>
            </w:r>
          </w:p>
        </w:tc>
      </w:tr>
      <w:tr>
        <w:trPr>
          <w:trHeight w:val="297" w:hRule="atLeast"/>
        </w:trPr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position w:val="6"/>
                <w:sz w:val="12"/>
              </w:rPr>
              <w:t>th</w:t>
            </w:r>
            <w:r>
              <w:rPr>
                <w:spacing w:val="19"/>
                <w:position w:val="6"/>
                <w:sz w:val="12"/>
              </w:rPr>
              <w:t> </w:t>
            </w:r>
            <w:r>
              <w:rPr>
                <w:sz w:val="18"/>
              </w:rPr>
              <w:t>Dec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spacing w:before="39"/>
              <w:ind w:left="109"/>
              <w:rPr>
                <w:sz w:val="18"/>
              </w:rPr>
            </w:pPr>
            <w:r>
              <w:rPr>
                <w:sz w:val="18"/>
              </w:rPr>
              <w:t>Kishore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Kumar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R</w:t>
            </w:r>
          </w:p>
        </w:tc>
      </w:tr>
      <w:tr>
        <w:trPr>
          <w:trHeight w:val="299" w:hRule="atLeast"/>
        </w:trPr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2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top="660" w:bottom="280" w:left="720" w:right="720"/>
        </w:sectPr>
      </w:pPr>
    </w:p>
    <w:p>
      <w:pPr>
        <w:spacing w:before="79"/>
        <w:ind w:left="360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Document</w:t>
      </w:r>
      <w:r>
        <w:rPr>
          <w:rFonts w:ascii="Verdana"/>
          <w:b/>
          <w:spacing w:val="-7"/>
          <w:sz w:val="18"/>
        </w:rPr>
        <w:t> </w:t>
      </w:r>
      <w:r>
        <w:rPr>
          <w:rFonts w:ascii="Verdana"/>
          <w:b/>
          <w:sz w:val="18"/>
        </w:rPr>
        <w:t>Review/Approval</w:t>
      </w:r>
      <w:r>
        <w:rPr>
          <w:rFonts w:ascii="Verdana"/>
          <w:b/>
          <w:spacing w:val="-6"/>
          <w:sz w:val="18"/>
        </w:rPr>
        <w:t> </w:t>
      </w:r>
      <w:r>
        <w:rPr>
          <w:rFonts w:ascii="Verdana"/>
          <w:b/>
          <w:spacing w:val="-2"/>
          <w:sz w:val="18"/>
        </w:rPr>
        <w:t>History</w:t>
      </w:r>
    </w:p>
    <w:p>
      <w:pPr>
        <w:pStyle w:val="BodyText"/>
        <w:spacing w:before="11"/>
        <w:rPr>
          <w:rFonts w:ascii="Verdana"/>
          <w:b/>
          <w:sz w:val="9"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7"/>
        <w:gridCol w:w="1981"/>
        <w:gridCol w:w="2701"/>
        <w:gridCol w:w="3421"/>
      </w:tblGrid>
      <w:tr>
        <w:trPr>
          <w:trHeight w:val="266" w:hRule="atLeast"/>
        </w:trPr>
        <w:tc>
          <w:tcPr>
            <w:tcW w:w="1887" w:type="dxa"/>
            <w:shd w:val="clear" w:color="auto" w:fill="000000"/>
          </w:tcPr>
          <w:p>
            <w:pPr>
              <w:pStyle w:val="TableParagraph"/>
              <w:spacing w:before="30"/>
              <w:ind w:left="10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Date</w:t>
            </w:r>
          </w:p>
        </w:tc>
        <w:tc>
          <w:tcPr>
            <w:tcW w:w="1981" w:type="dxa"/>
            <w:shd w:val="clear" w:color="auto" w:fill="000000"/>
          </w:tcPr>
          <w:p>
            <w:pPr>
              <w:pStyle w:val="TableParagraph"/>
              <w:spacing w:before="30"/>
              <w:ind w:left="10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2701" w:type="dxa"/>
            <w:shd w:val="clear" w:color="auto" w:fill="000000"/>
          </w:tcPr>
          <w:p>
            <w:pPr>
              <w:pStyle w:val="TableParagraph"/>
              <w:spacing w:before="30"/>
              <w:ind w:left="10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Organization/Title</w:t>
            </w:r>
          </w:p>
        </w:tc>
        <w:tc>
          <w:tcPr>
            <w:tcW w:w="3421" w:type="dxa"/>
            <w:shd w:val="clear" w:color="auto" w:fill="000000"/>
          </w:tcPr>
          <w:p>
            <w:pPr>
              <w:pStyle w:val="TableParagraph"/>
              <w:spacing w:before="30"/>
              <w:ind w:left="10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Comments</w:t>
            </w:r>
          </w:p>
        </w:tc>
      </w:tr>
      <w:tr>
        <w:trPr>
          <w:trHeight w:val="318" w:hRule="atLeast"/>
        </w:trPr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before="39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Scott</w:t>
            </w: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8" w:hRule="atLeast"/>
        </w:trPr>
        <w:tc>
          <w:tcPr>
            <w:tcW w:w="18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footerReference w:type="default" r:id="rId7"/>
          <w:pgSz w:w="12240" w:h="15840"/>
          <w:pgMar w:header="0" w:footer="686" w:top="1360" w:bottom="880" w:left="720" w:right="720"/>
          <w:pgNumType w:start="2"/>
        </w:sectPr>
      </w:pPr>
    </w:p>
    <w:p>
      <w:pPr>
        <w:pStyle w:val="Heading2"/>
        <w:spacing w:before="81"/>
      </w:pPr>
      <w:r>
        <w:rPr>
          <w:spacing w:val="-2"/>
        </w:rPr>
        <w:t>Contents</w:t>
      </w: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19" w:lineRule="exact" w:before="119" w:after="0"/>
        <w:ind w:left="1157" w:right="0" w:hanging="437"/>
        <w:jc w:val="left"/>
        <w:rPr>
          <w:sz w:val="18"/>
        </w:rPr>
      </w:pPr>
      <w:r>
        <w:rPr>
          <w:spacing w:val="-2"/>
          <w:sz w:val="18"/>
        </w:rPr>
        <w:t>Overview</w:t>
      </w: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18" w:lineRule="exact" w:before="0" w:after="0"/>
        <w:ind w:left="1157" w:right="0" w:hanging="437"/>
        <w:jc w:val="left"/>
        <w:rPr>
          <w:sz w:val="18"/>
        </w:rPr>
      </w:pPr>
      <w:r>
        <w:rPr>
          <w:sz w:val="18"/>
        </w:rPr>
        <w:t>Alerts</w:t>
      </w:r>
      <w:r>
        <w:rPr>
          <w:spacing w:val="-6"/>
          <w:sz w:val="18"/>
        </w:rPr>
        <w:t> </w:t>
      </w:r>
      <w:r>
        <w:rPr>
          <w:sz w:val="18"/>
        </w:rPr>
        <w:t>setup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“</w:t>
      </w:r>
      <w:r>
        <w:rPr>
          <w:color w:val="232323"/>
          <w:sz w:val="18"/>
        </w:rPr>
        <w:t>papl-rg-core-mobapp-prd-aea-01”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Cosmos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db</w:t>
      </w:r>
      <w:r>
        <w:rPr>
          <w:color w:val="232323"/>
          <w:spacing w:val="-2"/>
          <w:sz w:val="18"/>
        </w:rPr>
        <w:t> </w:t>
      </w:r>
      <w:r>
        <w:rPr>
          <w:color w:val="232323"/>
          <w:sz w:val="18"/>
        </w:rPr>
        <w:t>and</w:t>
      </w:r>
      <w:r>
        <w:rPr>
          <w:color w:val="232323"/>
          <w:spacing w:val="-4"/>
          <w:sz w:val="18"/>
        </w:rPr>
        <w:t> </w:t>
      </w:r>
      <w:r>
        <w:rPr>
          <w:color w:val="232323"/>
          <w:sz w:val="18"/>
        </w:rPr>
        <w:t>storage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accounts</w:t>
      </w: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37"/>
        <w:jc w:val="left"/>
        <w:rPr>
          <w:sz w:val="18"/>
        </w:rPr>
      </w:pPr>
      <w:r>
        <w:rPr>
          <w:sz w:val="18"/>
        </w:rPr>
        <w:t>Alerts</w:t>
      </w:r>
      <w:r>
        <w:rPr>
          <w:spacing w:val="-6"/>
          <w:sz w:val="18"/>
        </w:rPr>
        <w:t> </w:t>
      </w:r>
      <w:r>
        <w:rPr>
          <w:sz w:val="18"/>
        </w:rPr>
        <w:t>setup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“papl-rg-ops-mobapp-prd-aea-01"</w:t>
      </w:r>
      <w:r>
        <w:rPr>
          <w:spacing w:val="-5"/>
          <w:sz w:val="18"/>
        </w:rPr>
        <w:t> </w:t>
      </w:r>
      <w:r>
        <w:rPr>
          <w:sz w:val="18"/>
        </w:rPr>
        <w:t>Function</w:t>
      </w:r>
      <w:r>
        <w:rPr>
          <w:spacing w:val="-2"/>
          <w:sz w:val="18"/>
        </w:rPr>
        <w:t> </w:t>
      </w:r>
      <w:r>
        <w:rPr>
          <w:sz w:val="18"/>
        </w:rPr>
        <w:t>Apps,</w:t>
      </w:r>
      <w:r>
        <w:rPr>
          <w:spacing w:val="-5"/>
          <w:sz w:val="18"/>
        </w:rPr>
        <w:t> </w:t>
      </w:r>
      <w:r>
        <w:rPr>
          <w:color w:val="232323"/>
          <w:sz w:val="18"/>
        </w:rPr>
        <w:t>Webapps</w:t>
      </w:r>
      <w:r>
        <w:rPr>
          <w:color w:val="232323"/>
          <w:spacing w:val="-3"/>
          <w:sz w:val="18"/>
        </w:rPr>
        <w:t> </w:t>
      </w:r>
      <w:r>
        <w:rPr>
          <w:color w:val="232323"/>
          <w:sz w:val="18"/>
        </w:rPr>
        <w:t>and</w:t>
      </w:r>
      <w:r>
        <w:rPr>
          <w:color w:val="232323"/>
          <w:spacing w:val="-3"/>
          <w:sz w:val="18"/>
        </w:rPr>
        <w:t> </w:t>
      </w:r>
      <w:r>
        <w:rPr>
          <w:color w:val="232323"/>
          <w:sz w:val="18"/>
        </w:rPr>
        <w:t>Managed</w:t>
      </w:r>
      <w:r>
        <w:rPr>
          <w:color w:val="232323"/>
          <w:spacing w:val="-3"/>
          <w:sz w:val="18"/>
        </w:rPr>
        <w:t> </w:t>
      </w:r>
      <w:r>
        <w:rPr>
          <w:color w:val="232323"/>
          <w:spacing w:val="-2"/>
          <w:sz w:val="18"/>
        </w:rPr>
        <w:t>Identity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86" w:top="1360" w:bottom="880" w:left="720" w:right="720"/>
        </w:sect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00"/>
        <w:rPr>
          <w:rFonts w:ascii="Verdana"/>
          <w:sz w:val="18"/>
        </w:rPr>
      </w:pP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0" w:after="0"/>
        <w:ind w:left="936" w:right="0" w:hanging="576"/>
        <w:jc w:val="left"/>
        <w:rPr>
          <w:b/>
          <w:sz w:val="18"/>
        </w:rPr>
      </w:pPr>
      <w:r>
        <w:rPr>
          <w:b/>
          <w:spacing w:val="-2"/>
          <w:sz w:val="18"/>
        </w:rPr>
        <w:t>Overview</w:t>
      </w:r>
    </w:p>
    <w:p>
      <w:pPr>
        <w:pStyle w:val="BodyText"/>
        <w:spacing w:before="120"/>
        <w:rPr>
          <w:rFonts w:ascii="Verdana"/>
          <w:b/>
          <w:sz w:val="18"/>
        </w:rPr>
      </w:pPr>
    </w:p>
    <w:p>
      <w:pPr>
        <w:spacing w:before="0"/>
        <w:ind w:left="360" w:right="0" w:firstLine="0"/>
        <w:jc w:val="left"/>
        <w:rPr>
          <w:rFonts w:ascii="Verdana"/>
          <w:sz w:val="18"/>
        </w:rPr>
      </w:pPr>
      <w:r>
        <w:rPr>
          <w:rFonts w:ascii="Verdana"/>
          <w:sz w:val="18"/>
        </w:rPr>
        <w:t>The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purpose of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this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document</w:t>
      </w:r>
      <w:r>
        <w:rPr>
          <w:rFonts w:ascii="Verdana"/>
          <w:spacing w:val="-1"/>
          <w:sz w:val="18"/>
        </w:rPr>
        <w:t> </w:t>
      </w:r>
      <w:r>
        <w:rPr>
          <w:rFonts w:ascii="Verdana"/>
          <w:sz w:val="18"/>
        </w:rPr>
        <w:t>is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to</w:t>
      </w:r>
      <w:r>
        <w:rPr>
          <w:rFonts w:ascii="Verdana"/>
          <w:spacing w:val="-1"/>
          <w:sz w:val="18"/>
        </w:rPr>
        <w:t> </w:t>
      </w:r>
      <w:r>
        <w:rPr>
          <w:rFonts w:ascii="Verdana"/>
          <w:sz w:val="18"/>
        </w:rPr>
        <w:t>analyze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the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existing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alert</w:t>
      </w:r>
      <w:r>
        <w:rPr>
          <w:rFonts w:ascii="Verdana"/>
          <w:spacing w:val="-1"/>
          <w:sz w:val="18"/>
        </w:rPr>
        <w:t> </w:t>
      </w:r>
      <w:r>
        <w:rPr>
          <w:rFonts w:ascii="Verdana"/>
          <w:sz w:val="18"/>
        </w:rPr>
        <w:t>rules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configured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in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the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PROD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environment</w:t>
      </w:r>
      <w:r>
        <w:rPr>
          <w:rFonts w:ascii="Verdana"/>
          <w:spacing w:val="-1"/>
          <w:sz w:val="18"/>
        </w:rPr>
        <w:t> </w:t>
      </w:r>
      <w:r>
        <w:rPr>
          <w:rFonts w:ascii="Verdana"/>
          <w:sz w:val="18"/>
        </w:rPr>
        <w:t>for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the resources and to identify potential enhancements to improve monitoring coverage.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69"/>
        <w:rPr>
          <w:rFonts w:ascii="Verdana"/>
          <w:sz w:val="18"/>
        </w:rPr>
      </w:pPr>
    </w:p>
    <w:p>
      <w:pPr>
        <w:pStyle w:val="Heading1"/>
        <w:numPr>
          <w:ilvl w:val="1"/>
          <w:numId w:val="2"/>
        </w:numPr>
        <w:tabs>
          <w:tab w:pos="932" w:val="left" w:leader="none"/>
          <w:tab w:pos="936" w:val="left" w:leader="none"/>
        </w:tabs>
        <w:spacing w:line="271" w:lineRule="auto" w:before="0" w:after="0"/>
        <w:ind w:left="936" w:right="594" w:hanging="577"/>
        <w:jc w:val="left"/>
        <w:rPr>
          <w:color w:val="232323"/>
        </w:rPr>
      </w:pPr>
      <w:r>
        <w:rPr>
          <w:rFonts w:ascii="Verdana" w:hAnsi="Verdana"/>
        </w:rPr>
        <w:t>Alerts Setup for “</w:t>
      </w:r>
      <w:r>
        <w:rPr>
          <w:color w:val="232323"/>
        </w:rPr>
        <w:t>papl-rg-core-mobapp-prd-aea-01” webapps and Managed Identity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310" w:after="0"/>
        <w:ind w:left="1080" w:right="0" w:hanging="720"/>
        <w:jc w:val="left"/>
        <w:rPr>
          <w:b/>
          <w:sz w:val="18"/>
        </w:rPr>
      </w:pPr>
      <w:r>
        <w:rPr>
          <w:b/>
          <w:color w:val="75787A"/>
          <w:sz w:val="18"/>
        </w:rPr>
        <w:t>Cosmos</w:t>
      </w:r>
      <w:r>
        <w:rPr>
          <w:b/>
          <w:color w:val="75787A"/>
          <w:spacing w:val="-6"/>
          <w:sz w:val="18"/>
        </w:rPr>
        <w:t> </w:t>
      </w:r>
      <w:r>
        <w:rPr>
          <w:b/>
          <w:color w:val="75787A"/>
          <w:sz w:val="18"/>
        </w:rPr>
        <w:t>DB</w:t>
      </w:r>
      <w:r>
        <w:rPr>
          <w:b/>
          <w:color w:val="75787A"/>
          <w:spacing w:val="-3"/>
          <w:sz w:val="18"/>
        </w:rPr>
        <w:t> </w:t>
      </w:r>
      <w:r>
        <w:rPr>
          <w:b/>
          <w:color w:val="75787A"/>
          <w:sz w:val="18"/>
        </w:rPr>
        <w:t>alert</w:t>
      </w:r>
      <w:r>
        <w:rPr>
          <w:b/>
          <w:color w:val="75787A"/>
          <w:spacing w:val="-3"/>
          <w:sz w:val="18"/>
        </w:rPr>
        <w:t> </w:t>
      </w:r>
      <w:r>
        <w:rPr>
          <w:b/>
          <w:color w:val="75787A"/>
          <w:sz w:val="18"/>
        </w:rPr>
        <w:t>rule</w:t>
      </w:r>
      <w:r>
        <w:rPr>
          <w:b/>
          <w:color w:val="75787A"/>
          <w:spacing w:val="-4"/>
          <w:sz w:val="18"/>
        </w:rPr>
        <w:t> </w:t>
      </w:r>
      <w:r>
        <w:rPr>
          <w:b/>
          <w:color w:val="75787A"/>
          <w:sz w:val="18"/>
        </w:rPr>
        <w:t>for</w:t>
      </w:r>
      <w:r>
        <w:rPr>
          <w:b/>
          <w:color w:val="75787A"/>
          <w:spacing w:val="-3"/>
          <w:sz w:val="18"/>
        </w:rPr>
        <w:t> </w:t>
      </w:r>
      <w:r>
        <w:rPr>
          <w:b/>
          <w:color w:val="75787A"/>
          <w:sz w:val="18"/>
        </w:rPr>
        <w:t>resource</w:t>
      </w:r>
      <w:r>
        <w:rPr>
          <w:b/>
          <w:color w:val="75787A"/>
          <w:spacing w:val="-2"/>
          <w:sz w:val="18"/>
        </w:rPr>
        <w:t> </w:t>
      </w:r>
      <w:r>
        <w:rPr>
          <w:b/>
          <w:color w:val="75787A"/>
          <w:sz w:val="18"/>
        </w:rPr>
        <w:t>“papl-cosmos-mobapp-prd-aea-01”</w:t>
      </w:r>
      <w:r>
        <w:rPr>
          <w:b/>
          <w:color w:val="75787A"/>
          <w:spacing w:val="-3"/>
          <w:sz w:val="18"/>
        </w:rPr>
        <w:t> </w:t>
      </w:r>
      <w:r>
        <w:rPr>
          <w:b/>
          <w:color w:val="75787A"/>
          <w:sz w:val="18"/>
        </w:rPr>
        <w:t>based</w:t>
      </w:r>
      <w:r>
        <w:rPr>
          <w:b/>
          <w:color w:val="75787A"/>
          <w:spacing w:val="-3"/>
          <w:sz w:val="18"/>
        </w:rPr>
        <w:t> </w:t>
      </w:r>
      <w:r>
        <w:rPr>
          <w:b/>
          <w:color w:val="75787A"/>
          <w:sz w:val="18"/>
        </w:rPr>
        <w:t>on</w:t>
      </w:r>
      <w:r>
        <w:rPr>
          <w:b/>
          <w:color w:val="75787A"/>
          <w:spacing w:val="-4"/>
          <w:sz w:val="18"/>
        </w:rPr>
        <w:t> </w:t>
      </w:r>
      <w:r>
        <w:rPr>
          <w:b/>
          <w:color w:val="75787A"/>
          <w:spacing w:val="-2"/>
          <w:sz w:val="18"/>
        </w:rPr>
        <w:t>availability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Metric:</w:t>
      </w:r>
      <w:r>
        <w:rPr>
          <w:rFonts w:ascii="Calibri" w:hAnsi="Calibri"/>
          <w:spacing w:val="-2"/>
          <w:sz w:val="22"/>
        </w:rPr>
        <w:t> availability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Threshold: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4"/>
          <w:sz w:val="22"/>
        </w:rPr>
        <w:t>99.9%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Operator: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less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4"/>
          <w:sz w:val="22"/>
        </w:rPr>
        <w:t>than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Window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size: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5"/>
          <w:sz w:val="22"/>
        </w:rPr>
        <w:t>5M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Evaluation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frequency: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5"/>
          <w:sz w:val="22"/>
        </w:rPr>
        <w:t>1M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Severity: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10"/>
          <w:sz w:val="22"/>
        </w:rPr>
        <w:t>1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64" w:lineRule="auto" w:before="261" w:after="0"/>
        <w:ind w:left="1080" w:right="358" w:hanging="721"/>
        <w:jc w:val="both"/>
        <w:rPr>
          <w:b/>
          <w:sz w:val="18"/>
        </w:rPr>
      </w:pPr>
      <w:r>
        <w:rPr>
          <w:b/>
          <w:color w:val="75787A"/>
          <w:sz w:val="18"/>
        </w:rPr>
        <w:t>Alert rule for Storage account “paplstarchmobappprdaea01”, “paplstftmobappprdaea01”, “paplstfuncmobappprdaea01” based on availability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9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Metric: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availability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Threshold: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99/9%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Operator: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less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4"/>
          <w:sz w:val="22"/>
        </w:rPr>
        <w:t>than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Window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size: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5"/>
          <w:sz w:val="22"/>
        </w:rPr>
        <w:t>5M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Evaluation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frequency: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5"/>
          <w:sz w:val="22"/>
        </w:rPr>
        <w:t>1M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Severity: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10"/>
          <w:sz w:val="22"/>
        </w:rPr>
        <w:t>1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13"/>
        <w:rPr>
          <w:rFonts w:ascii="Calibri"/>
          <w:sz w:val="22"/>
        </w:rPr>
      </w:pPr>
    </w:p>
    <w:p>
      <w:pPr>
        <w:pStyle w:val="Heading1"/>
        <w:numPr>
          <w:ilvl w:val="1"/>
          <w:numId w:val="2"/>
        </w:numPr>
        <w:tabs>
          <w:tab w:pos="933" w:val="left" w:leader="none"/>
        </w:tabs>
        <w:spacing w:line="240" w:lineRule="auto" w:before="0" w:after="0"/>
        <w:ind w:left="933" w:right="0" w:hanging="573"/>
        <w:jc w:val="left"/>
        <w:rPr>
          <w:color w:val="232323"/>
        </w:rPr>
      </w:pPr>
      <w:r>
        <w:rPr>
          <w:rFonts w:ascii="Verdana" w:hAnsi="Verdana"/>
        </w:rPr>
        <w:t>Possible</w:t>
      </w:r>
      <w:r>
        <w:rPr>
          <w:rFonts w:ascii="Verdana" w:hAnsi="Verdana"/>
          <w:spacing w:val="-15"/>
        </w:rPr>
        <w:t> </w:t>
      </w:r>
      <w:r>
        <w:rPr>
          <w:rFonts w:ascii="Verdana" w:hAnsi="Verdana"/>
        </w:rPr>
        <w:t>Alerts</w:t>
      </w:r>
      <w:r>
        <w:rPr>
          <w:rFonts w:ascii="Verdana" w:hAnsi="Verdana"/>
          <w:spacing w:val="-13"/>
        </w:rPr>
        <w:t> </w:t>
      </w:r>
      <w:r>
        <w:rPr>
          <w:rFonts w:ascii="Verdana" w:hAnsi="Verdana"/>
        </w:rPr>
        <w:t>Setup</w:t>
      </w:r>
      <w:r>
        <w:rPr>
          <w:rFonts w:ascii="Verdana" w:hAnsi="Verdana"/>
          <w:spacing w:val="-11"/>
        </w:rPr>
        <w:t> </w:t>
      </w:r>
      <w:r>
        <w:rPr>
          <w:rFonts w:ascii="Verdana" w:hAnsi="Verdana"/>
        </w:rPr>
        <w:t>for</w:t>
      </w:r>
      <w:r>
        <w:rPr>
          <w:rFonts w:ascii="Verdana" w:hAnsi="Verdana"/>
          <w:spacing w:val="-12"/>
        </w:rPr>
        <w:t> </w:t>
      </w:r>
      <w:r>
        <w:rPr>
          <w:rFonts w:ascii="Verdana" w:hAnsi="Verdana"/>
        </w:rPr>
        <w:t>“</w:t>
      </w:r>
      <w:r>
        <w:rPr>
          <w:color w:val="232323"/>
        </w:rPr>
        <w:t>papl-rg-ops-mobapp-prd-aea-</w:t>
      </w:r>
      <w:r>
        <w:rPr>
          <w:color w:val="232323"/>
          <w:spacing w:val="-5"/>
        </w:rPr>
        <w:t>01”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64" w:lineRule="auto" w:before="359" w:after="0"/>
        <w:ind w:left="1080" w:right="356" w:hanging="721"/>
        <w:jc w:val="both"/>
        <w:rPr>
          <w:b/>
          <w:sz w:val="18"/>
        </w:rPr>
      </w:pPr>
      <w:r>
        <w:rPr>
          <w:b/>
          <w:color w:val="75787A"/>
          <w:sz w:val="18"/>
        </w:rPr>
        <w:t>Alert rule for Webapp “papl-app-flights-mobapp-prd-aea-01”, ”papl-app-parking-mobapp- prd-aea-01”, “papl-app-payments-mobapp-aea-01”, “papl-app-mobile-mobapp-prd-aea- 01”, “papl-app-profile-mobapp-prd-aea-01”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Metric:</w:t>
      </w:r>
      <w:r>
        <w:rPr>
          <w:rFonts w:ascii="Calibri" w:hAnsi="Calibri"/>
          <w:spacing w:val="-2"/>
          <w:sz w:val="22"/>
        </w:rPr>
        <w:t> HealthCheckStatus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Threshold:</w:t>
      </w:r>
      <w:r>
        <w:rPr>
          <w:rFonts w:ascii="Calibri" w:hAnsi="Calibri"/>
          <w:spacing w:val="-10"/>
          <w:sz w:val="22"/>
        </w:rPr>
        <w:t> 0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Operator: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Greater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than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Window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size: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5"/>
          <w:sz w:val="22"/>
        </w:rPr>
        <w:t>5M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Evaluation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frequency: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5"/>
          <w:sz w:val="22"/>
        </w:rPr>
        <w:t>1M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Severity: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10"/>
          <w:sz w:val="22"/>
        </w:rPr>
        <w:t>1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2"/>
        </w:rPr>
        <w:sectPr>
          <w:pgSz w:w="12240" w:h="15840"/>
          <w:pgMar w:header="0" w:footer="686" w:top="1820" w:bottom="88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64" w:lineRule="auto" w:before="81" w:after="0"/>
        <w:ind w:left="1080" w:right="356" w:hanging="721"/>
        <w:jc w:val="both"/>
        <w:rPr>
          <w:b/>
          <w:sz w:val="18"/>
        </w:rPr>
      </w:pPr>
      <w:r>
        <w:rPr>
          <w:b/>
          <w:color w:val="75787A"/>
          <w:sz w:val="18"/>
        </w:rPr>
        <w:t>Alert</w:t>
      </w:r>
      <w:r>
        <w:rPr>
          <w:b/>
          <w:color w:val="75787A"/>
          <w:spacing w:val="-16"/>
          <w:sz w:val="18"/>
        </w:rPr>
        <w:t> </w:t>
      </w:r>
      <w:r>
        <w:rPr>
          <w:b/>
          <w:color w:val="75787A"/>
          <w:sz w:val="18"/>
        </w:rPr>
        <w:t>rule</w:t>
      </w:r>
      <w:r>
        <w:rPr>
          <w:b/>
          <w:color w:val="75787A"/>
          <w:spacing w:val="-15"/>
          <w:sz w:val="18"/>
        </w:rPr>
        <w:t> </w:t>
      </w:r>
      <w:r>
        <w:rPr>
          <w:b/>
          <w:color w:val="75787A"/>
          <w:sz w:val="18"/>
        </w:rPr>
        <w:t>for</w:t>
      </w:r>
      <w:r>
        <w:rPr>
          <w:b/>
          <w:color w:val="75787A"/>
          <w:spacing w:val="-16"/>
          <w:sz w:val="18"/>
        </w:rPr>
        <w:t> </w:t>
      </w:r>
      <w:r>
        <w:rPr>
          <w:b/>
          <w:color w:val="75787A"/>
          <w:sz w:val="18"/>
        </w:rPr>
        <w:t>Azure</w:t>
      </w:r>
      <w:r>
        <w:rPr>
          <w:b/>
          <w:color w:val="75787A"/>
          <w:spacing w:val="-15"/>
          <w:sz w:val="18"/>
        </w:rPr>
        <w:t> </w:t>
      </w:r>
      <w:r>
        <w:rPr>
          <w:b/>
          <w:color w:val="75787A"/>
          <w:sz w:val="18"/>
        </w:rPr>
        <w:t>key</w:t>
      </w:r>
      <w:r>
        <w:rPr>
          <w:b/>
          <w:color w:val="75787A"/>
          <w:spacing w:val="-15"/>
          <w:sz w:val="18"/>
        </w:rPr>
        <w:t> </w:t>
      </w:r>
      <w:r>
        <w:rPr>
          <w:b/>
          <w:color w:val="75787A"/>
          <w:sz w:val="18"/>
        </w:rPr>
        <w:t>vault</w:t>
      </w:r>
      <w:r>
        <w:rPr>
          <w:b/>
          <w:color w:val="75787A"/>
          <w:spacing w:val="-16"/>
          <w:sz w:val="18"/>
        </w:rPr>
        <w:t> </w:t>
      </w:r>
      <w:r>
        <w:rPr>
          <w:b/>
          <w:color w:val="75787A"/>
          <w:sz w:val="18"/>
        </w:rPr>
        <w:t>“</w:t>
      </w:r>
      <w:r>
        <w:rPr>
          <w:b/>
          <w:color w:val="75787A"/>
          <w:spacing w:val="-15"/>
          <w:sz w:val="18"/>
        </w:rPr>
        <w:t> </w:t>
      </w:r>
      <w:r>
        <w:rPr>
          <w:b/>
          <w:color w:val="75787A"/>
          <w:sz w:val="18"/>
        </w:rPr>
        <w:t>papl-app-flights-mobapp-prd-aea-01-uai”,</w:t>
      </w:r>
      <w:r>
        <w:rPr>
          <w:b/>
          <w:color w:val="75787A"/>
          <w:spacing w:val="-16"/>
          <w:sz w:val="18"/>
        </w:rPr>
        <w:t> </w:t>
      </w:r>
      <w:r>
        <w:rPr>
          <w:b/>
          <w:color w:val="75787A"/>
          <w:sz w:val="18"/>
        </w:rPr>
        <w:t>“papl-app-parking- mobapp-prd-aea-01-uai”,</w:t>
      </w:r>
      <w:r>
        <w:rPr>
          <w:b/>
          <w:color w:val="75787A"/>
          <w:spacing w:val="-2"/>
          <w:sz w:val="18"/>
        </w:rPr>
        <w:t> </w:t>
      </w:r>
      <w:r>
        <w:rPr>
          <w:b/>
          <w:color w:val="75787A"/>
          <w:sz w:val="18"/>
        </w:rPr>
        <w:t>“papl-app-payments-mobapp-prd-aea-01-uai”,</w:t>
      </w:r>
      <w:r>
        <w:rPr>
          <w:b/>
          <w:color w:val="75787A"/>
          <w:spacing w:val="-2"/>
          <w:sz w:val="18"/>
        </w:rPr>
        <w:t> </w:t>
      </w:r>
      <w:r>
        <w:rPr>
          <w:b/>
          <w:color w:val="75787A"/>
          <w:sz w:val="18"/>
        </w:rPr>
        <w:t>“papl-app-mobile- mobapp-prd-aea-01-uai”, “papl-app-mobile-mobapp-prd-aea-01-uai”, “papl-func-flights- mobapp-prd-aea-01”, “papl-func-notifications-mobapp-prd-aea-01”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96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Category: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2"/>
          <w:sz w:val="22"/>
        </w:rPr>
        <w:t>ServiceHealth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Event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type: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Service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issue,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degradation,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outage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Evaluation: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Real-time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(platform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sz w:val="22"/>
        </w:rPr>
        <w:t>driven)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Severity: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10"/>
          <w:sz w:val="22"/>
        </w:rPr>
        <w:t>1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64" w:lineRule="auto" w:before="261" w:after="0"/>
        <w:ind w:left="1080" w:right="356" w:hanging="721"/>
        <w:jc w:val="both"/>
        <w:rPr>
          <w:b/>
          <w:sz w:val="18"/>
        </w:rPr>
      </w:pPr>
      <w:r>
        <w:rPr>
          <w:b/>
          <w:color w:val="75787A"/>
          <w:sz w:val="18"/>
        </w:rPr>
        <w:t>Alert rule for Azure Function Apps “papl-func-flights-mobapp-prd-aea-01”, “papl-func- </w:t>
      </w:r>
      <w:r>
        <w:rPr>
          <w:b/>
          <w:color w:val="75787A"/>
          <w:spacing w:val="-2"/>
          <w:sz w:val="18"/>
        </w:rPr>
        <w:t>notifications-mobapp-prd-aea-01”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Metric: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HealthCheckStatus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Threshold:</w:t>
      </w:r>
      <w:r>
        <w:rPr>
          <w:rFonts w:ascii="Calibri" w:hAnsi="Calibri"/>
          <w:spacing w:val="-10"/>
          <w:sz w:val="22"/>
        </w:rPr>
        <w:t> 0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Operator: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Greater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than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Window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size: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5"/>
          <w:sz w:val="22"/>
        </w:rPr>
        <w:t>5M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Evaluation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frequency: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5"/>
          <w:sz w:val="22"/>
        </w:rPr>
        <w:t>1M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Severity: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10"/>
          <w:sz w:val="22"/>
        </w:rPr>
        <w:t>1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2"/>
        </w:rPr>
        <w:sectPr>
          <w:pgSz w:w="12240" w:h="15840"/>
          <w:pgMar w:header="0" w:footer="686" w:top="1380" w:bottom="880" w:left="720" w:right="720"/>
        </w:sectPr>
      </w:pPr>
    </w:p>
    <w:p>
      <w:pPr>
        <w:pStyle w:val="BodyText"/>
        <w:spacing w:before="223"/>
        <w:rPr>
          <w:rFonts w:ascii="Calibri"/>
          <w:sz w:val="20"/>
        </w:rPr>
      </w:pPr>
    </w:p>
    <w:p>
      <w:pPr>
        <w:pStyle w:val="BodyText"/>
        <w:ind w:left="36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844771" cy="34785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771" cy="34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0"/>
        <w:rPr>
          <w:rFonts w:ascii="Calibri"/>
        </w:rPr>
      </w:pPr>
    </w:p>
    <w:p>
      <w:pPr>
        <w:pStyle w:val="BodyText"/>
        <w:spacing w:line="278" w:lineRule="auto"/>
        <w:ind w:left="360" w:right="358"/>
        <w:jc w:val="both"/>
      </w:pPr>
      <w:r>
        <w:rPr/>
        <w:t>Deloitte refers to one or more of Deloitte Touche Tohmatsu Limited, a UK private company limited by guarantee (“DTTL”), its network of member firms, and their</w:t>
      </w:r>
      <w:r>
        <w:rPr>
          <w:spacing w:val="40"/>
        </w:rPr>
        <w:t> </w:t>
      </w:r>
      <w:r>
        <w:rPr/>
        <w:t>related entities. DTTL and each of its member firms are legally separate and independent entities. DTTL (also referred to as “Deloitte Global”) does not provide</w:t>
      </w:r>
      <w:r>
        <w:rPr>
          <w:spacing w:val="40"/>
        </w:rPr>
        <w:t> </w:t>
      </w:r>
      <w:r>
        <w:rPr/>
        <w:t>services to clients. Please see </w:t>
      </w:r>
      <w:hyperlink r:id="rId8">
        <w:r>
          <w:rPr/>
          <w:t>www.deloitte.com/about</w:t>
        </w:r>
      </w:hyperlink>
      <w:r>
        <w:rPr/>
        <w:t> for a more detailed description of DTTL and its member firms.</w:t>
      </w:r>
    </w:p>
    <w:p>
      <w:pPr>
        <w:pStyle w:val="BodyText"/>
        <w:spacing w:line="276" w:lineRule="auto" w:before="117"/>
        <w:ind w:left="360" w:right="359"/>
        <w:jc w:val="both"/>
      </w:pPr>
      <w:r>
        <w:rPr/>
        <w:t>Deloitte provides audit, consulting, financial advisory, risk management, tax and related services to public and private clients spanning multiple industries. With a</w:t>
      </w:r>
      <w:r>
        <w:rPr>
          <w:spacing w:val="40"/>
        </w:rPr>
        <w:t> </w:t>
      </w:r>
      <w:r>
        <w:rPr/>
        <w:t>globally connected network of member firms in more than 150 countries and territories, Deloitte brings world-class capabilities and high-quality service to clients,</w:t>
      </w:r>
      <w:r>
        <w:rPr>
          <w:spacing w:val="40"/>
        </w:rPr>
        <w:t> </w:t>
      </w:r>
      <w:r>
        <w:rPr/>
        <w:t>delivering the insights they need to address their most complex business challenges. Deloitte’s more than 210,000 professionals are committed to becoming the</w:t>
      </w:r>
      <w:r>
        <w:rPr>
          <w:spacing w:val="40"/>
        </w:rPr>
        <w:t> </w:t>
      </w:r>
      <w:r>
        <w:rPr/>
        <w:t>standard of excellence.</w:t>
      </w:r>
    </w:p>
    <w:p>
      <w:pPr>
        <w:pStyle w:val="BodyText"/>
        <w:spacing w:line="278" w:lineRule="auto" w:before="119"/>
        <w:ind w:left="360" w:right="355"/>
        <w:jc w:val="both"/>
      </w:pPr>
      <w:r>
        <w:rPr/>
        <w:t>This communication contains general information only, and none of Deloitte Touche Tohmatsu Limited, its member firms, or their related entities (collectively, the</w:t>
      </w:r>
      <w:r>
        <w:rPr>
          <w:spacing w:val="40"/>
        </w:rPr>
        <w:t> </w:t>
      </w:r>
      <w:r>
        <w:rPr/>
        <w:t>“Deloitte</w:t>
      </w:r>
      <w:r>
        <w:rPr>
          <w:spacing w:val="-1"/>
        </w:rPr>
        <w:t> </w:t>
      </w:r>
      <w:r>
        <w:rPr/>
        <w:t>network”)</w:t>
      </w:r>
      <w:r>
        <w:rPr>
          <w:spacing w:val="-3"/>
        </w:rPr>
        <w:t> </w:t>
      </w:r>
      <w:r>
        <w:rPr/>
        <w:t>is,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 communication,</w:t>
      </w:r>
      <w:r>
        <w:rPr>
          <w:spacing w:val="-3"/>
        </w:rPr>
        <w:t> </w:t>
      </w:r>
      <w:r>
        <w:rPr/>
        <w:t>rendering</w:t>
      </w:r>
      <w:r>
        <w:rPr>
          <w:spacing w:val="-1"/>
        </w:rPr>
        <w:t> </w:t>
      </w:r>
      <w:r>
        <w:rPr/>
        <w:t>professional advice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services.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entity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Deloitte network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loss</w:t>
      </w:r>
      <w:r>
        <w:rPr>
          <w:spacing w:val="40"/>
        </w:rPr>
        <w:t> </w:t>
      </w:r>
      <w:r>
        <w:rPr/>
        <w:t>whatsoever sustained by any person who relies on this communication.</w:t>
      </w:r>
    </w:p>
    <w:p>
      <w:pPr>
        <w:pStyle w:val="BodyText"/>
        <w:spacing w:before="117"/>
        <w:ind w:left="360"/>
        <w:jc w:val="both"/>
      </w:pPr>
      <w:r>
        <w:rPr/>
        <w:t>©</w:t>
      </w:r>
      <w:r>
        <w:rPr>
          <w:spacing w:val="-4"/>
        </w:rPr>
        <w:t> </w:t>
      </w:r>
      <w:r>
        <w:rPr/>
        <w:t>2023</w:t>
      </w:r>
      <w:r>
        <w:rPr>
          <w:spacing w:val="-5"/>
        </w:rPr>
        <w:t> </w:t>
      </w:r>
      <w:r>
        <w:rPr/>
        <w:t>Deloitte</w:t>
      </w:r>
      <w:r>
        <w:rPr>
          <w:spacing w:val="-5"/>
        </w:rPr>
        <w:t> </w:t>
      </w:r>
      <w:r>
        <w:rPr/>
        <w:t>Touche</w:t>
      </w:r>
      <w:r>
        <w:rPr>
          <w:spacing w:val="-5"/>
        </w:rPr>
        <w:t> </w:t>
      </w:r>
      <w:r>
        <w:rPr/>
        <w:t>Tohmatsu</w:t>
      </w:r>
      <w:r>
        <w:rPr>
          <w:spacing w:val="-3"/>
        </w:rPr>
        <w:t> </w:t>
      </w:r>
      <w:r>
        <w:rPr/>
        <w:t>India</w:t>
      </w:r>
      <w:r>
        <w:rPr>
          <w:spacing w:val="-4"/>
        </w:rPr>
        <w:t> </w:t>
      </w:r>
      <w:r>
        <w:rPr>
          <w:spacing w:val="-5"/>
        </w:rPr>
        <w:t>LLP</w:t>
      </w:r>
    </w:p>
    <w:sectPr>
      <w:pgSz w:w="12240" w:h="15840"/>
      <w:pgMar w:header="0" w:footer="686" w:top="182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647700</wp:posOffset>
              </wp:positionH>
              <wp:positionV relativeFrom="page">
                <wp:posOffset>9482869</wp:posOffset>
              </wp:positionV>
              <wp:extent cx="145415" cy="1333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541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6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Verdan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pt;margin-top:746.682617pt;width:11.45pt;height:10.5pt;mso-position-horizontal-relative:page;mso-position-vertical-relative:page;z-index:-15871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6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  <w:spacing w:val="-10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</w:rPr>
                      <w:t>2</w:t>
                    </w:r>
                    <w:r>
                      <w:rPr>
                        <w:rFonts w:ascii="Verdana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93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6" w:hanging="57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1"/>
        <w:jc w:val="left"/>
      </w:pPr>
      <w:rPr>
        <w:rFonts w:hint="default" w:ascii="Verdana" w:hAnsi="Verdana" w:eastAsia="Verdana" w:cs="Verdana"/>
        <w:b/>
        <w:bCs/>
        <w:i w:val="0"/>
        <w:iCs w:val="0"/>
        <w:color w:val="75787A"/>
        <w:spacing w:val="-1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59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9" w:hanging="44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4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3" w:hanging="577"/>
      <w:outlineLvl w:val="1"/>
    </w:pPr>
    <w:rPr>
      <w:rFonts w:ascii="Segoe UI" w:hAnsi="Segoe UI" w:eastAsia="Segoe UI" w:cs="Segoe U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0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95" w:right="595"/>
      <w:jc w:val="center"/>
    </w:pPr>
    <w:rPr>
      <w:rFonts w:ascii="Verdana" w:hAnsi="Verdana" w:eastAsia="Verdana" w:cs="Verdan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108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://www.deloitte.com/about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Mahedi, Ali Dilawar</dc:creator>
  <dc:title>SBCI039A.GSAPShipmentDeliveriesToPCS</dc:title>
  <dcterms:created xsi:type="dcterms:W3CDTF">2025-12-19T06:02:20Z</dcterms:created>
  <dcterms:modified xsi:type="dcterms:W3CDTF">2025-12-19T06:02:20Z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2025-12-19T00:00:00Z</vt:filetime>
  </property>
  <property fmtid="{D5CDD505-2E9C-101B-9397-08002B2CF9AE}" pid="5" name="MSIP_Label_d0cb1e24-a0e2-4a4c-9340-733297c9cd7c_Enabled">
    <vt:lpwstr>true</vt:lpwstr>
  </property>
  <property fmtid="{D5CDD505-2E9C-101B-9397-08002B2CF9AE}" pid="6" name="MSIP_Label_d0cb1e24-a0e2-4a4c-9340-733297c9cd7c_Method">
    <vt:lpwstr>Privileged</vt:lpwstr>
  </property>
  <property fmtid="{D5CDD505-2E9C-101B-9397-08002B2CF9AE}" pid="7" name="MSIP_Label_d0cb1e24-a0e2-4a4c-9340-733297c9cd7c_SiteId">
    <vt:lpwstr>db1e96a8-a3da-442a-930b-235cac24cd5c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Method">
    <vt:lpwstr>Standard</vt:lpwstr>
  </property>
  <property fmtid="{D5CDD505-2E9C-101B-9397-08002B2CF9AE}" pid="11" name="MSIP_Label_ea60d57e-af5b-4752-ac57-3e4f28ca11dc_SiteId">
    <vt:lpwstr>36da45f1-dd2c-4d1f-af13-5abe46b99921</vt:lpwstr>
  </property>
  <property fmtid="{D5CDD505-2E9C-101B-9397-08002B2CF9AE}" pid="12" name="Producer">
    <vt:lpwstr>Microsoft® Word for Microsoft 365</vt:lpwstr>
  </property>
</Properties>
</file>