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8FDDD" w14:textId="77777777" w:rsidR="007C0D01" w:rsidRPr="007C0D01" w:rsidRDefault="007C0D01" w:rsidP="007C0D01">
      <w:pPr>
        <w:rPr>
          <w:b/>
          <w:bCs/>
        </w:rPr>
      </w:pPr>
      <w:r w:rsidRPr="007C0D01">
        <w:rPr>
          <w:b/>
          <w:bCs/>
        </w:rPr>
        <w:t>Analysis of Legal Dataset: A Case Study</w:t>
      </w:r>
    </w:p>
    <w:p w14:paraId="30DFBF8F" w14:textId="77777777" w:rsidR="007C0D01" w:rsidRPr="007C0D01" w:rsidRDefault="007C0D01" w:rsidP="007C0D01">
      <w:pPr>
        <w:rPr>
          <w:b/>
          <w:bCs/>
        </w:rPr>
      </w:pPr>
      <w:r w:rsidRPr="007C0D01">
        <w:rPr>
          <w:b/>
          <w:bCs/>
        </w:rPr>
        <w:t>Abstract</w:t>
      </w:r>
    </w:p>
    <w:p w14:paraId="12C4943D" w14:textId="77777777" w:rsidR="007C0D01" w:rsidRPr="007C0D01" w:rsidRDefault="007C0D01" w:rsidP="007C0D01">
      <w:r w:rsidRPr="007C0D01">
        <w:t xml:space="preserve">The legal industry generates vast amounts of data through court proceedings, case filings, and legal operations. This research paper explores a dataset containing key legal attributes such as </w:t>
      </w:r>
      <w:r w:rsidRPr="007C0D01">
        <w:rPr>
          <w:i/>
          <w:iCs/>
        </w:rPr>
        <w:t>Case Id</w:t>
      </w:r>
      <w:r w:rsidRPr="007C0D01">
        <w:t xml:space="preserve">, </w:t>
      </w:r>
      <w:r w:rsidRPr="007C0D01">
        <w:rPr>
          <w:i/>
          <w:iCs/>
        </w:rPr>
        <w:t>Case Type</w:t>
      </w:r>
      <w:r w:rsidRPr="007C0D01">
        <w:t xml:space="preserve">, </w:t>
      </w:r>
      <w:r w:rsidRPr="007C0D01">
        <w:rPr>
          <w:i/>
          <w:iCs/>
        </w:rPr>
        <w:t>Lawyer Name</w:t>
      </w:r>
      <w:r w:rsidRPr="007C0D01">
        <w:t xml:space="preserve">, </w:t>
      </w:r>
      <w:r w:rsidRPr="007C0D01">
        <w:rPr>
          <w:i/>
          <w:iCs/>
        </w:rPr>
        <w:t>Court Jurisdiction</w:t>
      </w:r>
      <w:r w:rsidRPr="007C0D01">
        <w:t xml:space="preserve">, </w:t>
      </w:r>
      <w:r w:rsidRPr="007C0D01">
        <w:rPr>
          <w:i/>
          <w:iCs/>
        </w:rPr>
        <w:t>Case Status</w:t>
      </w:r>
      <w:r w:rsidRPr="007C0D01">
        <w:t xml:space="preserve">, </w:t>
      </w:r>
      <w:r w:rsidRPr="007C0D01">
        <w:rPr>
          <w:i/>
          <w:iCs/>
        </w:rPr>
        <w:t>Legal Fees</w:t>
      </w:r>
      <w:r w:rsidRPr="007C0D01">
        <w:t xml:space="preserve">, and </w:t>
      </w:r>
      <w:r w:rsidRPr="007C0D01">
        <w:rPr>
          <w:i/>
          <w:iCs/>
        </w:rPr>
        <w:t>Duration</w:t>
      </w:r>
      <w:r w:rsidRPr="007C0D01">
        <w:t>. The objective is to analyze trends, correlations, and insights that can enhance decision-making processes, resource allocation, and legal strategies.</w:t>
      </w:r>
    </w:p>
    <w:p w14:paraId="1A779FFC" w14:textId="77777777" w:rsidR="007C0D01" w:rsidRPr="007C0D01" w:rsidRDefault="007C0D01" w:rsidP="007C0D01">
      <w:pPr>
        <w:rPr>
          <w:b/>
          <w:bCs/>
        </w:rPr>
      </w:pPr>
      <w:r w:rsidRPr="007C0D01">
        <w:rPr>
          <w:b/>
          <w:bCs/>
        </w:rPr>
        <w:t>Introduction</w:t>
      </w:r>
    </w:p>
    <w:p w14:paraId="7A414662" w14:textId="77777777" w:rsidR="007C0D01" w:rsidRPr="007C0D01" w:rsidRDefault="007C0D01" w:rsidP="007C0D01">
      <w:r w:rsidRPr="007C0D01">
        <w:t>Legal datasets provide a wealth of information for researchers, practitioners, and policymakers to better understand the dynamics of the legal system. The dataset under examination is comprised of cases categorized by their unique identifiers (</w:t>
      </w:r>
      <w:r w:rsidRPr="007C0D01">
        <w:rPr>
          <w:i/>
          <w:iCs/>
        </w:rPr>
        <w:t>Case Id</w:t>
      </w:r>
      <w:r w:rsidRPr="007C0D01">
        <w:t>), classifications (</w:t>
      </w:r>
      <w:r w:rsidRPr="007C0D01">
        <w:rPr>
          <w:i/>
          <w:iCs/>
        </w:rPr>
        <w:t>Case Type</w:t>
      </w:r>
      <w:r w:rsidRPr="007C0D01">
        <w:t>), legal representation (</w:t>
      </w:r>
      <w:r w:rsidRPr="007C0D01">
        <w:rPr>
          <w:i/>
          <w:iCs/>
        </w:rPr>
        <w:t>Lawyer Name</w:t>
      </w:r>
      <w:r w:rsidRPr="007C0D01">
        <w:t>), jurisdiction (</w:t>
      </w:r>
      <w:r w:rsidRPr="007C0D01">
        <w:rPr>
          <w:i/>
          <w:iCs/>
        </w:rPr>
        <w:t>Court Jurisdiction</w:t>
      </w:r>
      <w:r w:rsidRPr="007C0D01">
        <w:t>), progression (</w:t>
      </w:r>
      <w:r w:rsidRPr="007C0D01">
        <w:rPr>
          <w:i/>
          <w:iCs/>
        </w:rPr>
        <w:t>Case Status</w:t>
      </w:r>
      <w:r w:rsidRPr="007C0D01">
        <w:t>), associated costs (</w:t>
      </w:r>
      <w:r w:rsidRPr="007C0D01">
        <w:rPr>
          <w:i/>
          <w:iCs/>
        </w:rPr>
        <w:t>Legal Fees</w:t>
      </w:r>
      <w:r w:rsidRPr="007C0D01">
        <w:t>), and resolution timelines (</w:t>
      </w:r>
      <w:r w:rsidRPr="007C0D01">
        <w:rPr>
          <w:i/>
          <w:iCs/>
        </w:rPr>
        <w:t>Duration</w:t>
      </w:r>
      <w:r w:rsidRPr="007C0D01">
        <w:t>).</w:t>
      </w:r>
    </w:p>
    <w:p w14:paraId="35361484" w14:textId="77777777" w:rsidR="007C0D01" w:rsidRPr="007C0D01" w:rsidRDefault="007C0D01" w:rsidP="007C0D01">
      <w:r w:rsidRPr="007C0D01">
        <w:t>This paper aims to perform an exploratory analysis, highlighting patterns and relationships that could serve as benchmarks for legal practice optimization and systemic improvement.</w:t>
      </w:r>
    </w:p>
    <w:p w14:paraId="76BDC99E" w14:textId="77777777" w:rsidR="007C0D01" w:rsidRPr="007C0D01" w:rsidRDefault="007C0D01" w:rsidP="007C0D01">
      <w:pPr>
        <w:rPr>
          <w:b/>
          <w:bCs/>
        </w:rPr>
      </w:pPr>
      <w:r w:rsidRPr="007C0D01">
        <w:rPr>
          <w:b/>
          <w:bCs/>
        </w:rPr>
        <w:t>Data Description</w:t>
      </w:r>
    </w:p>
    <w:p w14:paraId="69EC9F0B" w14:textId="77777777" w:rsidR="007C0D01" w:rsidRPr="007C0D01" w:rsidRDefault="007C0D01" w:rsidP="007C0D01">
      <w:pPr>
        <w:rPr>
          <w:b/>
          <w:bCs/>
        </w:rPr>
      </w:pPr>
      <w:r w:rsidRPr="007C0D01">
        <w:rPr>
          <w:b/>
          <w:bCs/>
        </w:rPr>
        <w:t>Dataset Attributes</w:t>
      </w:r>
    </w:p>
    <w:p w14:paraId="359E5186" w14:textId="77777777" w:rsidR="007C0D01" w:rsidRPr="007C0D01" w:rsidRDefault="007C0D01" w:rsidP="007C0D01">
      <w:pPr>
        <w:numPr>
          <w:ilvl w:val="0"/>
          <w:numId w:val="1"/>
        </w:numPr>
      </w:pPr>
      <w:r w:rsidRPr="007C0D01">
        <w:rPr>
          <w:b/>
          <w:bCs/>
        </w:rPr>
        <w:t>Case Id:</w:t>
      </w:r>
      <w:r w:rsidRPr="007C0D01">
        <w:t xml:space="preserve"> A unique identifier assigned to each case.</w:t>
      </w:r>
    </w:p>
    <w:p w14:paraId="15AA4412" w14:textId="77777777" w:rsidR="007C0D01" w:rsidRPr="007C0D01" w:rsidRDefault="007C0D01" w:rsidP="007C0D01">
      <w:pPr>
        <w:numPr>
          <w:ilvl w:val="0"/>
          <w:numId w:val="1"/>
        </w:numPr>
      </w:pPr>
      <w:r w:rsidRPr="007C0D01">
        <w:rPr>
          <w:b/>
          <w:bCs/>
        </w:rPr>
        <w:t>Case Type:</w:t>
      </w:r>
      <w:r w:rsidRPr="007C0D01">
        <w:t xml:space="preserve"> The classification of the case (e.g., civil, criminal, corporate, family).</w:t>
      </w:r>
    </w:p>
    <w:p w14:paraId="40021778" w14:textId="77777777" w:rsidR="007C0D01" w:rsidRPr="007C0D01" w:rsidRDefault="007C0D01" w:rsidP="007C0D01">
      <w:pPr>
        <w:numPr>
          <w:ilvl w:val="0"/>
          <w:numId w:val="1"/>
        </w:numPr>
      </w:pPr>
      <w:r w:rsidRPr="007C0D01">
        <w:rPr>
          <w:b/>
          <w:bCs/>
        </w:rPr>
        <w:t>Lawyer Name:</w:t>
      </w:r>
      <w:r w:rsidRPr="007C0D01">
        <w:t xml:space="preserve"> The name of the lawyer(s) handling the case.</w:t>
      </w:r>
    </w:p>
    <w:p w14:paraId="2B4B2186" w14:textId="77777777" w:rsidR="007C0D01" w:rsidRPr="007C0D01" w:rsidRDefault="007C0D01" w:rsidP="007C0D01">
      <w:pPr>
        <w:numPr>
          <w:ilvl w:val="0"/>
          <w:numId w:val="1"/>
        </w:numPr>
      </w:pPr>
      <w:r w:rsidRPr="007C0D01">
        <w:rPr>
          <w:b/>
          <w:bCs/>
        </w:rPr>
        <w:t>Court Jurisdiction:</w:t>
      </w:r>
      <w:r w:rsidRPr="007C0D01">
        <w:t xml:space="preserve"> The legal area or court authority where the case is being processed.</w:t>
      </w:r>
    </w:p>
    <w:p w14:paraId="7C51DDBB" w14:textId="77777777" w:rsidR="007C0D01" w:rsidRPr="007C0D01" w:rsidRDefault="007C0D01" w:rsidP="007C0D01">
      <w:pPr>
        <w:numPr>
          <w:ilvl w:val="0"/>
          <w:numId w:val="1"/>
        </w:numPr>
      </w:pPr>
      <w:r w:rsidRPr="007C0D01">
        <w:rPr>
          <w:b/>
          <w:bCs/>
        </w:rPr>
        <w:t>Case Status:</w:t>
      </w:r>
      <w:r w:rsidRPr="007C0D01">
        <w:t xml:space="preserve"> The current progress of the case (e.g., open, closed, under review).</w:t>
      </w:r>
    </w:p>
    <w:p w14:paraId="6BB436C8" w14:textId="77777777" w:rsidR="007C0D01" w:rsidRPr="007C0D01" w:rsidRDefault="007C0D01" w:rsidP="007C0D01">
      <w:pPr>
        <w:numPr>
          <w:ilvl w:val="0"/>
          <w:numId w:val="1"/>
        </w:numPr>
      </w:pPr>
      <w:r w:rsidRPr="007C0D01">
        <w:rPr>
          <w:b/>
          <w:bCs/>
        </w:rPr>
        <w:t>Legal Fees:</w:t>
      </w:r>
      <w:r w:rsidRPr="007C0D01">
        <w:t xml:space="preserve"> The monetary cost associated with legal representation and court expenses.</w:t>
      </w:r>
    </w:p>
    <w:p w14:paraId="7BA68D90" w14:textId="77777777" w:rsidR="007C0D01" w:rsidRPr="007C0D01" w:rsidRDefault="007C0D01" w:rsidP="007C0D01">
      <w:pPr>
        <w:numPr>
          <w:ilvl w:val="0"/>
          <w:numId w:val="1"/>
        </w:numPr>
      </w:pPr>
      <w:r w:rsidRPr="007C0D01">
        <w:rPr>
          <w:b/>
          <w:bCs/>
        </w:rPr>
        <w:t>Duration:</w:t>
      </w:r>
      <w:r w:rsidRPr="007C0D01">
        <w:t xml:space="preserve"> The time taken (in days) to resolve or process the case.</w:t>
      </w:r>
    </w:p>
    <w:p w14:paraId="3F91D7B5" w14:textId="77777777" w:rsidR="007C0D01" w:rsidRPr="007C0D01" w:rsidRDefault="007C0D01" w:rsidP="007C0D01">
      <w:pPr>
        <w:rPr>
          <w:b/>
          <w:bCs/>
        </w:rPr>
      </w:pPr>
      <w:r w:rsidRPr="007C0D01">
        <w:rPr>
          <w:b/>
          <w:bCs/>
        </w:rPr>
        <w:t>Dataset Scope</w:t>
      </w:r>
    </w:p>
    <w:p w14:paraId="590D011C" w14:textId="77777777" w:rsidR="007C0D01" w:rsidRPr="007C0D01" w:rsidRDefault="007C0D01" w:rsidP="007C0D01">
      <w:r w:rsidRPr="007C0D01">
        <w:t>The dataset contains records from multiple jurisdictions, representing various case types and statuses. This diversity allows for a comprehensive analysis of legal operations across regions and case categories.</w:t>
      </w:r>
    </w:p>
    <w:p w14:paraId="62F07E83" w14:textId="77777777" w:rsidR="007C0D01" w:rsidRPr="007C0D01" w:rsidRDefault="007C0D01" w:rsidP="007C0D01">
      <w:pPr>
        <w:rPr>
          <w:b/>
          <w:bCs/>
        </w:rPr>
      </w:pPr>
      <w:r w:rsidRPr="007C0D01">
        <w:rPr>
          <w:b/>
          <w:bCs/>
        </w:rPr>
        <w:t>Methodology</w:t>
      </w:r>
    </w:p>
    <w:p w14:paraId="3F3264A5" w14:textId="77777777" w:rsidR="007C0D01" w:rsidRPr="007C0D01" w:rsidRDefault="007C0D01" w:rsidP="007C0D01">
      <w:pPr>
        <w:rPr>
          <w:b/>
          <w:bCs/>
        </w:rPr>
      </w:pPr>
      <w:r w:rsidRPr="007C0D01">
        <w:rPr>
          <w:b/>
          <w:bCs/>
        </w:rPr>
        <w:t>Data Preprocessing</w:t>
      </w:r>
    </w:p>
    <w:p w14:paraId="0B4BEDDA" w14:textId="77777777" w:rsidR="007C0D01" w:rsidRPr="007C0D01" w:rsidRDefault="007C0D01" w:rsidP="007C0D01">
      <w:pPr>
        <w:numPr>
          <w:ilvl w:val="0"/>
          <w:numId w:val="2"/>
        </w:numPr>
      </w:pPr>
      <w:r w:rsidRPr="007C0D01">
        <w:rPr>
          <w:b/>
          <w:bCs/>
        </w:rPr>
        <w:t>Data Cleaning:</w:t>
      </w:r>
      <w:r w:rsidRPr="007C0D01">
        <w:t xml:space="preserve"> Ensure consistency in case types, lawyer names, and jurisdictions by resolving typographical errors and standardizing formats.</w:t>
      </w:r>
    </w:p>
    <w:p w14:paraId="7AF08AD9" w14:textId="77777777" w:rsidR="007C0D01" w:rsidRPr="007C0D01" w:rsidRDefault="007C0D01" w:rsidP="007C0D01">
      <w:pPr>
        <w:numPr>
          <w:ilvl w:val="0"/>
          <w:numId w:val="2"/>
        </w:numPr>
      </w:pPr>
      <w:r w:rsidRPr="007C0D01">
        <w:rPr>
          <w:b/>
          <w:bCs/>
        </w:rPr>
        <w:t>Missing Values:</w:t>
      </w:r>
      <w:r w:rsidRPr="007C0D01">
        <w:t xml:space="preserve"> Handle missing or incomplete records using imputation or exclusion methods.</w:t>
      </w:r>
    </w:p>
    <w:p w14:paraId="790BB20C" w14:textId="77777777" w:rsidR="007C0D01" w:rsidRPr="007C0D01" w:rsidRDefault="007C0D01" w:rsidP="007C0D01">
      <w:pPr>
        <w:numPr>
          <w:ilvl w:val="0"/>
          <w:numId w:val="2"/>
        </w:numPr>
      </w:pPr>
      <w:r w:rsidRPr="007C0D01">
        <w:rPr>
          <w:b/>
          <w:bCs/>
        </w:rPr>
        <w:t>Data Normalization:</w:t>
      </w:r>
      <w:r w:rsidRPr="007C0D01">
        <w:t xml:space="preserve"> Normalize numerical fields like </w:t>
      </w:r>
      <w:r w:rsidRPr="007C0D01">
        <w:rPr>
          <w:i/>
          <w:iCs/>
        </w:rPr>
        <w:t>Legal Fees</w:t>
      </w:r>
      <w:r w:rsidRPr="007C0D01">
        <w:t xml:space="preserve"> and </w:t>
      </w:r>
      <w:r w:rsidRPr="007C0D01">
        <w:rPr>
          <w:i/>
          <w:iCs/>
        </w:rPr>
        <w:t>Duration</w:t>
      </w:r>
      <w:r w:rsidRPr="007C0D01">
        <w:t xml:space="preserve"> for comparative analysis.</w:t>
      </w:r>
    </w:p>
    <w:p w14:paraId="50BA6314" w14:textId="77777777" w:rsidR="007C0D01" w:rsidRPr="007C0D01" w:rsidRDefault="007C0D01" w:rsidP="007C0D01">
      <w:pPr>
        <w:rPr>
          <w:b/>
          <w:bCs/>
        </w:rPr>
      </w:pPr>
      <w:r w:rsidRPr="007C0D01">
        <w:rPr>
          <w:b/>
          <w:bCs/>
        </w:rPr>
        <w:t>Analytical Techniques</w:t>
      </w:r>
    </w:p>
    <w:p w14:paraId="1977E5B0" w14:textId="77777777" w:rsidR="007C0D01" w:rsidRPr="007C0D01" w:rsidRDefault="007C0D01" w:rsidP="007C0D01">
      <w:pPr>
        <w:numPr>
          <w:ilvl w:val="0"/>
          <w:numId w:val="3"/>
        </w:numPr>
      </w:pPr>
      <w:r w:rsidRPr="007C0D01">
        <w:rPr>
          <w:b/>
          <w:bCs/>
        </w:rPr>
        <w:t>Descriptive Statistics:</w:t>
      </w:r>
      <w:r w:rsidRPr="007C0D01">
        <w:t xml:space="preserve"> Summarize the dataset with measures such as mean, median, and standard deviation.</w:t>
      </w:r>
    </w:p>
    <w:p w14:paraId="27B3483D" w14:textId="77777777" w:rsidR="007C0D01" w:rsidRPr="007C0D01" w:rsidRDefault="007C0D01" w:rsidP="007C0D01">
      <w:pPr>
        <w:numPr>
          <w:ilvl w:val="0"/>
          <w:numId w:val="3"/>
        </w:numPr>
      </w:pPr>
      <w:r w:rsidRPr="007C0D01">
        <w:rPr>
          <w:b/>
          <w:bCs/>
        </w:rPr>
        <w:t>Correlation Analysis:</w:t>
      </w:r>
      <w:r w:rsidRPr="007C0D01">
        <w:t xml:space="preserve"> Investigate relationships between attributes, e.g., legal fees vs. case duration.</w:t>
      </w:r>
    </w:p>
    <w:p w14:paraId="23E70196" w14:textId="77777777" w:rsidR="007C0D01" w:rsidRPr="007C0D01" w:rsidRDefault="007C0D01" w:rsidP="007C0D01">
      <w:pPr>
        <w:numPr>
          <w:ilvl w:val="0"/>
          <w:numId w:val="3"/>
        </w:numPr>
      </w:pPr>
      <w:r w:rsidRPr="007C0D01">
        <w:rPr>
          <w:b/>
          <w:bCs/>
        </w:rPr>
        <w:t>Clustering:</w:t>
      </w:r>
      <w:r w:rsidRPr="007C0D01">
        <w:t xml:space="preserve"> Group cases by type or status to uncover common patterns.</w:t>
      </w:r>
    </w:p>
    <w:p w14:paraId="70349E86" w14:textId="77777777" w:rsidR="007C0D01" w:rsidRPr="007C0D01" w:rsidRDefault="007C0D01" w:rsidP="007C0D01">
      <w:pPr>
        <w:numPr>
          <w:ilvl w:val="0"/>
          <w:numId w:val="3"/>
        </w:numPr>
      </w:pPr>
      <w:r w:rsidRPr="007C0D01">
        <w:rPr>
          <w:b/>
          <w:bCs/>
        </w:rPr>
        <w:t>Visualization:</w:t>
      </w:r>
      <w:r w:rsidRPr="007C0D01">
        <w:t xml:space="preserve"> Use charts and graphs to present trends and insights.</w:t>
      </w:r>
    </w:p>
    <w:p w14:paraId="2DB25C03" w14:textId="77777777" w:rsidR="007C0D01" w:rsidRPr="007C0D01" w:rsidRDefault="007C0D01" w:rsidP="007C0D01">
      <w:pPr>
        <w:rPr>
          <w:b/>
          <w:bCs/>
        </w:rPr>
      </w:pPr>
      <w:r w:rsidRPr="007C0D01">
        <w:rPr>
          <w:b/>
          <w:bCs/>
        </w:rPr>
        <w:t>Results and Discussion</w:t>
      </w:r>
    </w:p>
    <w:p w14:paraId="2E80B722" w14:textId="77777777" w:rsidR="007C0D01" w:rsidRPr="007C0D01" w:rsidRDefault="007C0D01" w:rsidP="007C0D01">
      <w:pPr>
        <w:rPr>
          <w:b/>
          <w:bCs/>
        </w:rPr>
      </w:pPr>
      <w:r w:rsidRPr="007C0D01">
        <w:rPr>
          <w:b/>
          <w:bCs/>
        </w:rPr>
        <w:t>Key Findings</w:t>
      </w:r>
    </w:p>
    <w:p w14:paraId="1AFE573D" w14:textId="77777777" w:rsidR="007C0D01" w:rsidRPr="007C0D01" w:rsidRDefault="007C0D01" w:rsidP="007C0D01">
      <w:pPr>
        <w:numPr>
          <w:ilvl w:val="0"/>
          <w:numId w:val="4"/>
        </w:numPr>
      </w:pPr>
      <w:r w:rsidRPr="007C0D01">
        <w:rPr>
          <w:b/>
          <w:bCs/>
        </w:rPr>
        <w:t>Case Type Distribution:</w:t>
      </w:r>
      <w:r w:rsidRPr="007C0D01">
        <w:t xml:space="preserve"> A majority of cases fall under [specific categories, e.g., civil and corporate].</w:t>
      </w:r>
    </w:p>
    <w:p w14:paraId="2A65885E" w14:textId="77777777" w:rsidR="007C0D01" w:rsidRPr="007C0D01" w:rsidRDefault="007C0D01" w:rsidP="007C0D01">
      <w:pPr>
        <w:numPr>
          <w:ilvl w:val="0"/>
          <w:numId w:val="4"/>
        </w:numPr>
      </w:pPr>
      <w:r w:rsidRPr="007C0D01">
        <w:rPr>
          <w:b/>
          <w:bCs/>
        </w:rPr>
        <w:t>Legal Fees Analysis:</w:t>
      </w:r>
      <w:r w:rsidRPr="007C0D01">
        <w:t xml:space="preserve"> High variance in fees suggests disparities based on case complexity and jurisdiction.</w:t>
      </w:r>
    </w:p>
    <w:p w14:paraId="142D4363" w14:textId="77777777" w:rsidR="007C0D01" w:rsidRPr="007C0D01" w:rsidRDefault="007C0D01" w:rsidP="007C0D01">
      <w:pPr>
        <w:numPr>
          <w:ilvl w:val="0"/>
          <w:numId w:val="4"/>
        </w:numPr>
      </w:pPr>
      <w:r w:rsidRPr="007C0D01">
        <w:rPr>
          <w:b/>
          <w:bCs/>
        </w:rPr>
        <w:t>Duration Patterns:</w:t>
      </w:r>
      <w:r w:rsidRPr="007C0D01">
        <w:t xml:space="preserve"> Longer durations are correlated with higher fees and complex case types.</w:t>
      </w:r>
    </w:p>
    <w:p w14:paraId="277EDA26" w14:textId="77777777" w:rsidR="007C0D01" w:rsidRPr="007C0D01" w:rsidRDefault="007C0D01" w:rsidP="007C0D01">
      <w:pPr>
        <w:numPr>
          <w:ilvl w:val="0"/>
          <w:numId w:val="4"/>
        </w:numPr>
      </w:pPr>
      <w:r w:rsidRPr="007C0D01">
        <w:rPr>
          <w:b/>
          <w:bCs/>
        </w:rPr>
        <w:t>Jurisdiction Trends:</w:t>
      </w:r>
      <w:r w:rsidRPr="007C0D01">
        <w:t xml:space="preserve"> Certain jurisdictions exhibit faster case resolution times.</w:t>
      </w:r>
    </w:p>
    <w:p w14:paraId="4883AB96" w14:textId="77777777" w:rsidR="007C0D01" w:rsidRPr="007C0D01" w:rsidRDefault="007C0D01" w:rsidP="007C0D01">
      <w:pPr>
        <w:rPr>
          <w:b/>
          <w:bCs/>
        </w:rPr>
      </w:pPr>
      <w:r w:rsidRPr="007C0D01">
        <w:rPr>
          <w:b/>
          <w:bCs/>
        </w:rPr>
        <w:t>Implications</w:t>
      </w:r>
    </w:p>
    <w:p w14:paraId="7E5A73C7" w14:textId="77777777" w:rsidR="007C0D01" w:rsidRPr="007C0D01" w:rsidRDefault="007C0D01" w:rsidP="007C0D01">
      <w:pPr>
        <w:numPr>
          <w:ilvl w:val="0"/>
          <w:numId w:val="5"/>
        </w:numPr>
      </w:pPr>
      <w:r w:rsidRPr="007C0D01">
        <w:rPr>
          <w:b/>
          <w:bCs/>
        </w:rPr>
        <w:t>Policy Recommendations:</w:t>
      </w:r>
      <w:r w:rsidRPr="007C0D01">
        <w:t xml:space="preserve"> Strategies to reduce case durations and legal costs.</w:t>
      </w:r>
    </w:p>
    <w:p w14:paraId="6F1894C6" w14:textId="77777777" w:rsidR="007C0D01" w:rsidRPr="007C0D01" w:rsidRDefault="007C0D01" w:rsidP="007C0D01">
      <w:pPr>
        <w:numPr>
          <w:ilvl w:val="0"/>
          <w:numId w:val="5"/>
        </w:numPr>
      </w:pPr>
      <w:r w:rsidRPr="007C0D01">
        <w:rPr>
          <w:b/>
          <w:bCs/>
        </w:rPr>
        <w:t>Resource Allocation:</w:t>
      </w:r>
      <w:r w:rsidRPr="007C0D01">
        <w:t xml:space="preserve"> Insights for judicial bodies to optimize resource distribution based on case load trends.</w:t>
      </w:r>
    </w:p>
    <w:p w14:paraId="1D1056F5" w14:textId="77777777" w:rsidR="007C0D01" w:rsidRPr="007C0D01" w:rsidRDefault="007C0D01" w:rsidP="007C0D01">
      <w:pPr>
        <w:numPr>
          <w:ilvl w:val="0"/>
          <w:numId w:val="5"/>
        </w:numPr>
      </w:pPr>
      <w:r w:rsidRPr="007C0D01">
        <w:rPr>
          <w:b/>
          <w:bCs/>
        </w:rPr>
        <w:t>Lawyer Performance Metrics:</w:t>
      </w:r>
      <w:r w:rsidRPr="007C0D01">
        <w:t xml:space="preserve"> Establishing benchmarks for effective legal representation.</w:t>
      </w:r>
    </w:p>
    <w:p w14:paraId="16E4C58E" w14:textId="77777777" w:rsidR="007C0D01" w:rsidRPr="007C0D01" w:rsidRDefault="007C0D01" w:rsidP="007C0D01">
      <w:pPr>
        <w:rPr>
          <w:b/>
          <w:bCs/>
        </w:rPr>
      </w:pPr>
      <w:r w:rsidRPr="007C0D01">
        <w:rPr>
          <w:b/>
          <w:bCs/>
        </w:rPr>
        <w:t>Conclusion</w:t>
      </w:r>
    </w:p>
    <w:p w14:paraId="617B962D" w14:textId="77777777" w:rsidR="007C0D01" w:rsidRPr="007C0D01" w:rsidRDefault="007C0D01" w:rsidP="007C0D01">
      <w:r w:rsidRPr="007C0D01">
        <w:t>This analysis of the legal dataset reveals significant trends and relationships that can aid stakeholders in improving legal system efficiency. Future research could extend this study by integrating additional datasets or employing advanced predictive modeling techniques.</w:t>
      </w:r>
    </w:p>
    <w:p w14:paraId="5D3D2206" w14:textId="77777777" w:rsidR="007C0D01" w:rsidRPr="007C0D01" w:rsidRDefault="007C0D01" w:rsidP="007C0D01">
      <w:pPr>
        <w:rPr>
          <w:b/>
          <w:bCs/>
        </w:rPr>
      </w:pPr>
      <w:r w:rsidRPr="007C0D01">
        <w:rPr>
          <w:b/>
          <w:bCs/>
        </w:rPr>
        <w:t>References</w:t>
      </w:r>
    </w:p>
    <w:p w14:paraId="0D4F2CAE" w14:textId="77777777" w:rsidR="007C0D01" w:rsidRPr="007C0D01" w:rsidRDefault="007C0D01" w:rsidP="007C0D01">
      <w:pPr>
        <w:numPr>
          <w:ilvl w:val="0"/>
          <w:numId w:val="6"/>
        </w:numPr>
      </w:pPr>
      <w:r w:rsidRPr="007C0D01">
        <w:t>[Include references to similar studies, legal frameworks, and data analysis techniques.]</w:t>
      </w:r>
    </w:p>
    <w:p w14:paraId="3171C34A" w14:textId="77777777" w:rsidR="007C0D01" w:rsidRPr="007C0D01" w:rsidRDefault="007C0D01" w:rsidP="007C0D01">
      <w:pPr>
        <w:numPr>
          <w:ilvl w:val="0"/>
          <w:numId w:val="6"/>
        </w:numPr>
      </w:pPr>
      <w:r w:rsidRPr="007C0D01">
        <w:t xml:space="preserve">Example: Smith, J., &amp; Doe, A. (2020). </w:t>
      </w:r>
      <w:r w:rsidRPr="007C0D01">
        <w:rPr>
          <w:i/>
          <w:iCs/>
        </w:rPr>
        <w:t>Data Analytics in the Legal Sector: Opportunities and Challenges.</w:t>
      </w:r>
      <w:r w:rsidRPr="007C0D01">
        <w:t xml:space="preserve"> Journal of Legal Studies.</w:t>
      </w:r>
    </w:p>
    <w:p w14:paraId="745DAA92" w14:textId="77777777" w:rsidR="007C0D01" w:rsidRPr="007C0D01" w:rsidRDefault="009938BB" w:rsidP="007C0D01">
      <w:r>
        <w:rPr>
          <w:noProof/>
        </w:rPr>
      </w:r>
      <w:r w:rsidR="009938BB">
        <w:rPr>
          <w:noProof/>
        </w:rPr>
        <w:pict w14:anchorId="4513BB42">
          <v:rect id="_x0000_i1025" style="width:0;height:1.5pt" o:hralign="center" o:hrstd="t" o:hr="t" fillcolor="#a0a0a0" stroked="f"/>
        </w:pict>
      </w:r>
    </w:p>
    <w:p w14:paraId="4865A830" w14:textId="77777777" w:rsidR="007C0D01" w:rsidRPr="007C0D01" w:rsidRDefault="007C0D01" w:rsidP="007C0D01">
      <w:pPr>
        <w:rPr>
          <w:b/>
          <w:bCs/>
        </w:rPr>
      </w:pPr>
      <w:r w:rsidRPr="007C0D01">
        <w:rPr>
          <w:b/>
          <w:bCs/>
        </w:rPr>
        <w:t>Appendix</w:t>
      </w:r>
    </w:p>
    <w:p w14:paraId="7EF20ABB" w14:textId="77777777" w:rsidR="007C0D01" w:rsidRPr="007C0D01" w:rsidRDefault="007C0D01" w:rsidP="007C0D01">
      <w:pPr>
        <w:rPr>
          <w:b/>
          <w:bCs/>
        </w:rPr>
      </w:pPr>
      <w:r w:rsidRPr="007C0D01">
        <w:rPr>
          <w:b/>
          <w:bCs/>
        </w:rPr>
        <w:t>Sample Dataset</w:t>
      </w:r>
    </w:p>
    <w:tbl>
      <w:tblPr>
        <w:tblW w:w="7978" w:type="dxa"/>
        <w:tblCellSpacing w:w="15" w:type="dxa"/>
        <w:tblCellMar>
          <w:top w:w="15" w:type="dxa"/>
          <w:left w:w="15" w:type="dxa"/>
          <w:bottom w:w="15" w:type="dxa"/>
          <w:right w:w="15" w:type="dxa"/>
        </w:tblCellMar>
        <w:tblLook w:val="04A0" w:firstRow="1" w:lastRow="0" w:firstColumn="1" w:lastColumn="0" w:noHBand="0" w:noVBand="1"/>
      </w:tblPr>
      <w:tblGrid>
        <w:gridCol w:w="739"/>
        <w:gridCol w:w="987"/>
        <w:gridCol w:w="1335"/>
        <w:gridCol w:w="1689"/>
        <w:gridCol w:w="1333"/>
        <w:gridCol w:w="1002"/>
        <w:gridCol w:w="893"/>
      </w:tblGrid>
      <w:tr w:rsidR="007C0D01" w:rsidRPr="007C0D01" w14:paraId="77DD771F" w14:textId="77777777" w:rsidTr="007C0D01">
        <w:trPr>
          <w:trHeight w:val="439"/>
          <w:tblCellSpacing w:w="15" w:type="dxa"/>
        </w:trPr>
        <w:tc>
          <w:tcPr>
            <w:tcW w:w="0" w:type="auto"/>
            <w:vAlign w:val="center"/>
            <w:hideMark/>
          </w:tcPr>
          <w:p w14:paraId="2692AB36" w14:textId="77777777" w:rsidR="007C0D01" w:rsidRPr="007C0D01" w:rsidRDefault="007C0D01" w:rsidP="007C0D01">
            <w:pPr>
              <w:rPr>
                <w:b/>
                <w:bCs/>
              </w:rPr>
            </w:pPr>
            <w:r w:rsidRPr="007C0D01">
              <w:rPr>
                <w:b/>
                <w:bCs/>
              </w:rPr>
              <w:t>Case Id</w:t>
            </w:r>
          </w:p>
        </w:tc>
        <w:tc>
          <w:tcPr>
            <w:tcW w:w="0" w:type="auto"/>
            <w:vAlign w:val="center"/>
            <w:hideMark/>
          </w:tcPr>
          <w:p w14:paraId="63BEF315" w14:textId="77777777" w:rsidR="007C0D01" w:rsidRPr="007C0D01" w:rsidRDefault="007C0D01" w:rsidP="007C0D01">
            <w:pPr>
              <w:rPr>
                <w:b/>
                <w:bCs/>
              </w:rPr>
            </w:pPr>
            <w:r w:rsidRPr="007C0D01">
              <w:rPr>
                <w:b/>
                <w:bCs/>
              </w:rPr>
              <w:t>Case Type</w:t>
            </w:r>
          </w:p>
        </w:tc>
        <w:tc>
          <w:tcPr>
            <w:tcW w:w="0" w:type="auto"/>
            <w:vAlign w:val="center"/>
            <w:hideMark/>
          </w:tcPr>
          <w:p w14:paraId="2F805CDF" w14:textId="77777777" w:rsidR="007C0D01" w:rsidRPr="007C0D01" w:rsidRDefault="007C0D01" w:rsidP="007C0D01">
            <w:pPr>
              <w:rPr>
                <w:b/>
                <w:bCs/>
              </w:rPr>
            </w:pPr>
            <w:r w:rsidRPr="007C0D01">
              <w:rPr>
                <w:b/>
                <w:bCs/>
              </w:rPr>
              <w:t>Lawyer Name</w:t>
            </w:r>
          </w:p>
        </w:tc>
        <w:tc>
          <w:tcPr>
            <w:tcW w:w="0" w:type="auto"/>
            <w:vAlign w:val="center"/>
            <w:hideMark/>
          </w:tcPr>
          <w:p w14:paraId="6A77B498" w14:textId="77777777" w:rsidR="007C0D01" w:rsidRPr="007C0D01" w:rsidRDefault="007C0D01" w:rsidP="007C0D01">
            <w:pPr>
              <w:rPr>
                <w:b/>
                <w:bCs/>
              </w:rPr>
            </w:pPr>
            <w:r w:rsidRPr="007C0D01">
              <w:rPr>
                <w:b/>
                <w:bCs/>
              </w:rPr>
              <w:t>Court Jurisdiction</w:t>
            </w:r>
          </w:p>
        </w:tc>
        <w:tc>
          <w:tcPr>
            <w:tcW w:w="0" w:type="auto"/>
            <w:vAlign w:val="center"/>
            <w:hideMark/>
          </w:tcPr>
          <w:p w14:paraId="0D582667" w14:textId="77777777" w:rsidR="007C0D01" w:rsidRPr="007C0D01" w:rsidRDefault="007C0D01" w:rsidP="007C0D01">
            <w:pPr>
              <w:rPr>
                <w:b/>
                <w:bCs/>
              </w:rPr>
            </w:pPr>
            <w:r w:rsidRPr="007C0D01">
              <w:rPr>
                <w:b/>
                <w:bCs/>
              </w:rPr>
              <w:t>Case Status</w:t>
            </w:r>
          </w:p>
        </w:tc>
        <w:tc>
          <w:tcPr>
            <w:tcW w:w="0" w:type="auto"/>
            <w:vAlign w:val="center"/>
            <w:hideMark/>
          </w:tcPr>
          <w:p w14:paraId="09C60893" w14:textId="77777777" w:rsidR="007C0D01" w:rsidRPr="007C0D01" w:rsidRDefault="007C0D01" w:rsidP="007C0D01">
            <w:pPr>
              <w:rPr>
                <w:b/>
                <w:bCs/>
              </w:rPr>
            </w:pPr>
            <w:r w:rsidRPr="007C0D01">
              <w:rPr>
                <w:b/>
                <w:bCs/>
              </w:rPr>
              <w:t>Legal Fees</w:t>
            </w:r>
          </w:p>
        </w:tc>
        <w:tc>
          <w:tcPr>
            <w:tcW w:w="0" w:type="auto"/>
            <w:vAlign w:val="center"/>
            <w:hideMark/>
          </w:tcPr>
          <w:p w14:paraId="0D43AA00" w14:textId="77777777" w:rsidR="007C0D01" w:rsidRPr="007C0D01" w:rsidRDefault="007C0D01" w:rsidP="007C0D01">
            <w:pPr>
              <w:rPr>
                <w:b/>
                <w:bCs/>
              </w:rPr>
            </w:pPr>
            <w:r w:rsidRPr="007C0D01">
              <w:rPr>
                <w:b/>
                <w:bCs/>
              </w:rPr>
              <w:t>Duration</w:t>
            </w:r>
          </w:p>
        </w:tc>
      </w:tr>
      <w:tr w:rsidR="007C0D01" w:rsidRPr="007C0D01" w14:paraId="6E180471" w14:textId="77777777" w:rsidTr="007C0D01">
        <w:trPr>
          <w:trHeight w:val="471"/>
          <w:tblCellSpacing w:w="15" w:type="dxa"/>
        </w:trPr>
        <w:tc>
          <w:tcPr>
            <w:tcW w:w="0" w:type="auto"/>
            <w:vAlign w:val="center"/>
            <w:hideMark/>
          </w:tcPr>
          <w:p w14:paraId="062FD827" w14:textId="77777777" w:rsidR="007C0D01" w:rsidRPr="007C0D01" w:rsidRDefault="007C0D01" w:rsidP="007C0D01">
            <w:r w:rsidRPr="007C0D01">
              <w:t>001</w:t>
            </w:r>
          </w:p>
        </w:tc>
        <w:tc>
          <w:tcPr>
            <w:tcW w:w="0" w:type="auto"/>
            <w:vAlign w:val="center"/>
            <w:hideMark/>
          </w:tcPr>
          <w:p w14:paraId="7483F541" w14:textId="77777777" w:rsidR="007C0D01" w:rsidRPr="007C0D01" w:rsidRDefault="007C0D01" w:rsidP="007C0D01">
            <w:r w:rsidRPr="007C0D01">
              <w:t>Civil</w:t>
            </w:r>
          </w:p>
        </w:tc>
        <w:tc>
          <w:tcPr>
            <w:tcW w:w="0" w:type="auto"/>
            <w:vAlign w:val="center"/>
            <w:hideMark/>
          </w:tcPr>
          <w:p w14:paraId="0564BB73" w14:textId="77777777" w:rsidR="007C0D01" w:rsidRPr="007C0D01" w:rsidRDefault="007C0D01" w:rsidP="007C0D01">
            <w:r w:rsidRPr="007C0D01">
              <w:t>John Smith</w:t>
            </w:r>
          </w:p>
        </w:tc>
        <w:tc>
          <w:tcPr>
            <w:tcW w:w="0" w:type="auto"/>
            <w:vAlign w:val="center"/>
            <w:hideMark/>
          </w:tcPr>
          <w:p w14:paraId="0477CF92" w14:textId="77777777" w:rsidR="007C0D01" w:rsidRPr="007C0D01" w:rsidRDefault="007C0D01" w:rsidP="007C0D01">
            <w:r w:rsidRPr="007C0D01">
              <w:t>District Court A</w:t>
            </w:r>
          </w:p>
        </w:tc>
        <w:tc>
          <w:tcPr>
            <w:tcW w:w="0" w:type="auto"/>
            <w:vAlign w:val="center"/>
            <w:hideMark/>
          </w:tcPr>
          <w:p w14:paraId="0362CEA3" w14:textId="77777777" w:rsidR="007C0D01" w:rsidRPr="007C0D01" w:rsidRDefault="007C0D01" w:rsidP="007C0D01">
            <w:r w:rsidRPr="007C0D01">
              <w:t>Closed</w:t>
            </w:r>
          </w:p>
        </w:tc>
        <w:tc>
          <w:tcPr>
            <w:tcW w:w="0" w:type="auto"/>
            <w:vAlign w:val="center"/>
            <w:hideMark/>
          </w:tcPr>
          <w:p w14:paraId="009DF858" w14:textId="77777777" w:rsidR="007C0D01" w:rsidRPr="007C0D01" w:rsidRDefault="007C0D01" w:rsidP="007C0D01">
            <w:r w:rsidRPr="007C0D01">
              <w:t>$5,000</w:t>
            </w:r>
          </w:p>
        </w:tc>
        <w:tc>
          <w:tcPr>
            <w:tcW w:w="0" w:type="auto"/>
            <w:vAlign w:val="center"/>
            <w:hideMark/>
          </w:tcPr>
          <w:p w14:paraId="474CF321" w14:textId="77777777" w:rsidR="007C0D01" w:rsidRPr="007C0D01" w:rsidRDefault="007C0D01" w:rsidP="007C0D01">
            <w:r w:rsidRPr="007C0D01">
              <w:t>120 days</w:t>
            </w:r>
          </w:p>
        </w:tc>
      </w:tr>
      <w:tr w:rsidR="007C0D01" w:rsidRPr="007C0D01" w14:paraId="448C3BF5" w14:textId="77777777" w:rsidTr="007C0D01">
        <w:trPr>
          <w:trHeight w:val="471"/>
          <w:tblCellSpacing w:w="15" w:type="dxa"/>
        </w:trPr>
        <w:tc>
          <w:tcPr>
            <w:tcW w:w="0" w:type="auto"/>
            <w:vAlign w:val="center"/>
            <w:hideMark/>
          </w:tcPr>
          <w:p w14:paraId="2A6F44FC" w14:textId="77777777" w:rsidR="007C0D01" w:rsidRPr="007C0D01" w:rsidRDefault="007C0D01" w:rsidP="007C0D01">
            <w:r w:rsidRPr="007C0D01">
              <w:t>002</w:t>
            </w:r>
          </w:p>
        </w:tc>
        <w:tc>
          <w:tcPr>
            <w:tcW w:w="0" w:type="auto"/>
            <w:vAlign w:val="center"/>
            <w:hideMark/>
          </w:tcPr>
          <w:p w14:paraId="09B63A9D" w14:textId="77777777" w:rsidR="007C0D01" w:rsidRPr="007C0D01" w:rsidRDefault="007C0D01" w:rsidP="007C0D01">
            <w:r w:rsidRPr="007C0D01">
              <w:t>Criminal</w:t>
            </w:r>
          </w:p>
        </w:tc>
        <w:tc>
          <w:tcPr>
            <w:tcW w:w="0" w:type="auto"/>
            <w:vAlign w:val="center"/>
            <w:hideMark/>
          </w:tcPr>
          <w:p w14:paraId="2EF33BF4" w14:textId="77777777" w:rsidR="007C0D01" w:rsidRPr="007C0D01" w:rsidRDefault="007C0D01" w:rsidP="007C0D01">
            <w:r w:rsidRPr="007C0D01">
              <w:t>Jane Doe</w:t>
            </w:r>
          </w:p>
        </w:tc>
        <w:tc>
          <w:tcPr>
            <w:tcW w:w="0" w:type="auto"/>
            <w:vAlign w:val="center"/>
            <w:hideMark/>
          </w:tcPr>
          <w:p w14:paraId="444FCBD8" w14:textId="77777777" w:rsidR="007C0D01" w:rsidRPr="007C0D01" w:rsidRDefault="007C0D01" w:rsidP="007C0D01">
            <w:r w:rsidRPr="007C0D01">
              <w:t>High Court B</w:t>
            </w:r>
          </w:p>
        </w:tc>
        <w:tc>
          <w:tcPr>
            <w:tcW w:w="0" w:type="auto"/>
            <w:vAlign w:val="center"/>
            <w:hideMark/>
          </w:tcPr>
          <w:p w14:paraId="444BECE5" w14:textId="77777777" w:rsidR="007C0D01" w:rsidRPr="007C0D01" w:rsidRDefault="007C0D01" w:rsidP="007C0D01">
            <w:r w:rsidRPr="007C0D01">
              <w:t>Open</w:t>
            </w:r>
          </w:p>
        </w:tc>
        <w:tc>
          <w:tcPr>
            <w:tcW w:w="0" w:type="auto"/>
            <w:vAlign w:val="center"/>
            <w:hideMark/>
          </w:tcPr>
          <w:p w14:paraId="2FCBD559" w14:textId="77777777" w:rsidR="007C0D01" w:rsidRPr="007C0D01" w:rsidRDefault="007C0D01" w:rsidP="007C0D01">
            <w:r w:rsidRPr="007C0D01">
              <w:t>$10,000</w:t>
            </w:r>
          </w:p>
        </w:tc>
        <w:tc>
          <w:tcPr>
            <w:tcW w:w="0" w:type="auto"/>
            <w:vAlign w:val="center"/>
            <w:hideMark/>
          </w:tcPr>
          <w:p w14:paraId="39C48E1A" w14:textId="77777777" w:rsidR="007C0D01" w:rsidRPr="007C0D01" w:rsidRDefault="007C0D01" w:rsidP="007C0D01">
            <w:r w:rsidRPr="007C0D01">
              <w:t>200 days</w:t>
            </w:r>
          </w:p>
        </w:tc>
      </w:tr>
      <w:tr w:rsidR="007C0D01" w:rsidRPr="007C0D01" w14:paraId="44FB97AB" w14:textId="77777777" w:rsidTr="007C0D01">
        <w:trPr>
          <w:trHeight w:val="471"/>
          <w:tblCellSpacing w:w="15" w:type="dxa"/>
        </w:trPr>
        <w:tc>
          <w:tcPr>
            <w:tcW w:w="0" w:type="auto"/>
            <w:vAlign w:val="center"/>
            <w:hideMark/>
          </w:tcPr>
          <w:p w14:paraId="52E50EE7" w14:textId="77777777" w:rsidR="007C0D01" w:rsidRPr="007C0D01" w:rsidRDefault="007C0D01" w:rsidP="007C0D01">
            <w:r w:rsidRPr="007C0D01">
              <w:t>003</w:t>
            </w:r>
          </w:p>
        </w:tc>
        <w:tc>
          <w:tcPr>
            <w:tcW w:w="0" w:type="auto"/>
            <w:vAlign w:val="center"/>
            <w:hideMark/>
          </w:tcPr>
          <w:p w14:paraId="38799926" w14:textId="77777777" w:rsidR="007C0D01" w:rsidRPr="007C0D01" w:rsidRDefault="007C0D01" w:rsidP="007C0D01">
            <w:r w:rsidRPr="007C0D01">
              <w:t>Family</w:t>
            </w:r>
          </w:p>
        </w:tc>
        <w:tc>
          <w:tcPr>
            <w:tcW w:w="0" w:type="auto"/>
            <w:vAlign w:val="center"/>
            <w:hideMark/>
          </w:tcPr>
          <w:p w14:paraId="2BF5097E" w14:textId="77777777" w:rsidR="007C0D01" w:rsidRPr="007C0D01" w:rsidRDefault="007C0D01" w:rsidP="007C0D01">
            <w:r w:rsidRPr="007C0D01">
              <w:t>Alice Brown</w:t>
            </w:r>
          </w:p>
        </w:tc>
        <w:tc>
          <w:tcPr>
            <w:tcW w:w="0" w:type="auto"/>
            <w:vAlign w:val="center"/>
            <w:hideMark/>
          </w:tcPr>
          <w:p w14:paraId="7279F392" w14:textId="77777777" w:rsidR="007C0D01" w:rsidRPr="007C0D01" w:rsidRDefault="007C0D01" w:rsidP="007C0D01">
            <w:r w:rsidRPr="007C0D01">
              <w:t>Family Court C</w:t>
            </w:r>
          </w:p>
        </w:tc>
        <w:tc>
          <w:tcPr>
            <w:tcW w:w="0" w:type="auto"/>
            <w:vAlign w:val="center"/>
            <w:hideMark/>
          </w:tcPr>
          <w:p w14:paraId="4B822F36" w14:textId="77777777" w:rsidR="007C0D01" w:rsidRPr="007C0D01" w:rsidRDefault="007C0D01" w:rsidP="007C0D01">
            <w:r w:rsidRPr="007C0D01">
              <w:t>Under Review</w:t>
            </w:r>
          </w:p>
        </w:tc>
        <w:tc>
          <w:tcPr>
            <w:tcW w:w="0" w:type="auto"/>
            <w:vAlign w:val="center"/>
            <w:hideMark/>
          </w:tcPr>
          <w:p w14:paraId="5C59F82B" w14:textId="77777777" w:rsidR="007C0D01" w:rsidRPr="007C0D01" w:rsidRDefault="007C0D01" w:rsidP="007C0D01">
            <w:r w:rsidRPr="007C0D01">
              <w:t>$3,500</w:t>
            </w:r>
          </w:p>
        </w:tc>
        <w:tc>
          <w:tcPr>
            <w:tcW w:w="0" w:type="auto"/>
            <w:vAlign w:val="center"/>
            <w:hideMark/>
          </w:tcPr>
          <w:p w14:paraId="02926364" w14:textId="77777777" w:rsidR="007C0D01" w:rsidRPr="007C0D01" w:rsidRDefault="007C0D01" w:rsidP="007C0D01">
            <w:r w:rsidRPr="007C0D01">
              <w:t>90 days</w:t>
            </w:r>
          </w:p>
        </w:tc>
      </w:tr>
      <w:tr w:rsidR="007C0D01" w:rsidRPr="007C0D01" w14:paraId="6EFE9ACF" w14:textId="77777777" w:rsidTr="007C0D01">
        <w:trPr>
          <w:trHeight w:val="471"/>
          <w:tblCellSpacing w:w="15" w:type="dxa"/>
        </w:trPr>
        <w:tc>
          <w:tcPr>
            <w:tcW w:w="0" w:type="auto"/>
            <w:vAlign w:val="center"/>
          </w:tcPr>
          <w:tbl>
            <w:tblPr>
              <w:tblW w:w="21" w:type="dxa"/>
              <w:tblCellMar>
                <w:left w:w="0" w:type="dxa"/>
                <w:right w:w="0" w:type="dxa"/>
              </w:tblCellMar>
              <w:tblLook w:val="04A0" w:firstRow="1" w:lastRow="0" w:firstColumn="1" w:lastColumn="0" w:noHBand="0" w:noVBand="1"/>
            </w:tblPr>
            <w:tblGrid>
              <w:gridCol w:w="21"/>
            </w:tblGrid>
            <w:tr w:rsidR="007C0D01" w:rsidRPr="007C0D01" w14:paraId="7F25F070" w14:textId="77777777" w:rsidTr="007C0D01">
              <w:trPr>
                <w:trHeight w:val="314"/>
              </w:trPr>
              <w:tc>
                <w:tcPr>
                  <w:tcW w:w="0" w:type="auto"/>
                  <w:tcBorders>
                    <w:top w:val="single" w:sz="6" w:space="0" w:color="CCCCCC"/>
                    <w:left w:val="single" w:sz="6" w:space="0" w:color="CCCCCC"/>
                    <w:bottom w:val="single" w:sz="6" w:space="0" w:color="CCCCCC"/>
                    <w:right w:val="single" w:sz="6" w:space="0" w:color="CCCCCC"/>
                  </w:tcBorders>
                  <w:vAlign w:val="bottom"/>
                  <w:hideMark/>
                </w:tcPr>
                <w:p w14:paraId="42B4A8A3" w14:textId="22CCA9DD" w:rsidR="007C0D01" w:rsidRPr="007C0D01" w:rsidRDefault="007C0D01" w:rsidP="007C0D01">
                  <w:pPr>
                    <w:spacing w:after="0" w:line="240" w:lineRule="auto"/>
                    <w:rPr>
                      <w:rFonts w:ascii="Calibri" w:eastAsia="Times New Roman" w:hAnsi="Calibri" w:cs="Calibri"/>
                      <w:kern w:val="0"/>
                      <w:sz w:val="16"/>
                      <w:szCs w:val="16"/>
                      <w14:ligatures w14:val="none"/>
                    </w:rPr>
                  </w:pPr>
                </w:p>
              </w:tc>
            </w:tr>
          </w:tbl>
          <w:p w14:paraId="0288BC41" w14:textId="77777777" w:rsidR="007C0D01" w:rsidRPr="007C0D01" w:rsidRDefault="007C0D01" w:rsidP="007C0D01"/>
        </w:tc>
        <w:tc>
          <w:tcPr>
            <w:tcW w:w="0" w:type="auto"/>
            <w:vAlign w:val="center"/>
          </w:tcPr>
          <w:p w14:paraId="52AABF56" w14:textId="77777777" w:rsidR="007C0D01" w:rsidRPr="007C0D01" w:rsidRDefault="007C0D01" w:rsidP="007C0D01"/>
        </w:tc>
        <w:tc>
          <w:tcPr>
            <w:tcW w:w="0" w:type="auto"/>
            <w:vAlign w:val="center"/>
          </w:tcPr>
          <w:p w14:paraId="7B7B2926" w14:textId="77777777" w:rsidR="007C0D01" w:rsidRPr="007C0D01" w:rsidRDefault="007C0D01" w:rsidP="007C0D01"/>
        </w:tc>
        <w:tc>
          <w:tcPr>
            <w:tcW w:w="0" w:type="auto"/>
            <w:vAlign w:val="center"/>
          </w:tcPr>
          <w:p w14:paraId="3EE67EA8" w14:textId="77777777" w:rsidR="007C0D01" w:rsidRPr="007C0D01" w:rsidRDefault="007C0D01" w:rsidP="007C0D01"/>
        </w:tc>
        <w:tc>
          <w:tcPr>
            <w:tcW w:w="0" w:type="auto"/>
            <w:vAlign w:val="center"/>
          </w:tcPr>
          <w:p w14:paraId="2B95C395" w14:textId="77777777" w:rsidR="007C0D01" w:rsidRPr="007C0D01" w:rsidRDefault="007C0D01" w:rsidP="007C0D01"/>
        </w:tc>
        <w:tc>
          <w:tcPr>
            <w:tcW w:w="0" w:type="auto"/>
            <w:vAlign w:val="center"/>
          </w:tcPr>
          <w:p w14:paraId="2B7CE8B9" w14:textId="77777777" w:rsidR="007C0D01" w:rsidRPr="007C0D01" w:rsidRDefault="007C0D01" w:rsidP="007C0D01"/>
        </w:tc>
        <w:tc>
          <w:tcPr>
            <w:tcW w:w="0" w:type="auto"/>
            <w:vAlign w:val="center"/>
          </w:tcPr>
          <w:p w14:paraId="71F8C085" w14:textId="77777777" w:rsidR="007C0D01" w:rsidRPr="007C0D01" w:rsidRDefault="007C0D01" w:rsidP="007C0D01"/>
        </w:tc>
      </w:tr>
    </w:tbl>
    <w:p w14:paraId="2B11EFC4" w14:textId="01AF1310" w:rsidR="007C0D01" w:rsidRDefault="007C0D01">
      <w:r>
        <w:rPr>
          <w:noProof/>
        </w:rPr>
        <w:drawing>
          <wp:inline distT="0" distB="0" distL="0" distR="0" wp14:anchorId="3D19B5E5" wp14:editId="635C43B8">
            <wp:extent cx="5943600" cy="3910330"/>
            <wp:effectExtent l="0" t="0" r="0" b="0"/>
            <wp:docPr id="86012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0330"/>
                    </a:xfrm>
                    <a:prstGeom prst="rect">
                      <a:avLst/>
                    </a:prstGeom>
                    <a:noFill/>
                    <a:ln>
                      <a:noFill/>
                    </a:ln>
                  </pic:spPr>
                </pic:pic>
              </a:graphicData>
            </a:graphic>
          </wp:inline>
        </w:drawing>
      </w:r>
      <w:r>
        <w:rPr>
          <w:noProof/>
        </w:rPr>
        <w:drawing>
          <wp:inline distT="0" distB="0" distL="0" distR="0" wp14:anchorId="204B844F" wp14:editId="40DD2DE5">
            <wp:extent cx="5943600" cy="3910330"/>
            <wp:effectExtent l="0" t="0" r="0" b="0"/>
            <wp:docPr id="404707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0330"/>
                    </a:xfrm>
                    <a:prstGeom prst="rect">
                      <a:avLst/>
                    </a:prstGeom>
                    <a:noFill/>
                    <a:ln>
                      <a:noFill/>
                    </a:ln>
                  </pic:spPr>
                </pic:pic>
              </a:graphicData>
            </a:graphic>
          </wp:inline>
        </w:drawing>
      </w:r>
    </w:p>
    <w:sectPr w:rsidR="007C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F05EC"/>
    <w:multiLevelType w:val="multilevel"/>
    <w:tmpl w:val="DED2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10BA4"/>
    <w:multiLevelType w:val="multilevel"/>
    <w:tmpl w:val="77DE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319E4"/>
    <w:multiLevelType w:val="multilevel"/>
    <w:tmpl w:val="F31C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71D13"/>
    <w:multiLevelType w:val="multilevel"/>
    <w:tmpl w:val="33D0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91E51"/>
    <w:multiLevelType w:val="multilevel"/>
    <w:tmpl w:val="A48A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5592D"/>
    <w:multiLevelType w:val="multilevel"/>
    <w:tmpl w:val="9564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770029">
    <w:abstractNumId w:val="3"/>
  </w:num>
  <w:num w:numId="2" w16cid:durableId="1871993067">
    <w:abstractNumId w:val="4"/>
  </w:num>
  <w:num w:numId="3" w16cid:durableId="478961910">
    <w:abstractNumId w:val="5"/>
  </w:num>
  <w:num w:numId="4" w16cid:durableId="670565443">
    <w:abstractNumId w:val="0"/>
  </w:num>
  <w:num w:numId="5" w16cid:durableId="1649363152">
    <w:abstractNumId w:val="2"/>
  </w:num>
  <w:num w:numId="6" w16cid:durableId="63687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01"/>
    <w:rsid w:val="004C0078"/>
    <w:rsid w:val="007C0D01"/>
    <w:rsid w:val="009938BB"/>
    <w:rsid w:val="00D512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8B5736"/>
  <w15:chartTrackingRefBased/>
  <w15:docId w15:val="{8229CC73-59A7-4EAC-878D-9E4B5338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654353">
      <w:bodyDiv w:val="1"/>
      <w:marLeft w:val="0"/>
      <w:marRight w:val="0"/>
      <w:marTop w:val="0"/>
      <w:marBottom w:val="0"/>
      <w:divBdr>
        <w:top w:val="none" w:sz="0" w:space="0" w:color="auto"/>
        <w:left w:val="none" w:sz="0" w:space="0" w:color="auto"/>
        <w:bottom w:val="none" w:sz="0" w:space="0" w:color="auto"/>
        <w:right w:val="none" w:sz="0" w:space="0" w:color="auto"/>
      </w:divBdr>
      <w:divsChild>
        <w:div w:id="753937383">
          <w:marLeft w:val="0"/>
          <w:marRight w:val="0"/>
          <w:marTop w:val="0"/>
          <w:marBottom w:val="0"/>
          <w:divBdr>
            <w:top w:val="none" w:sz="0" w:space="0" w:color="auto"/>
            <w:left w:val="none" w:sz="0" w:space="0" w:color="auto"/>
            <w:bottom w:val="none" w:sz="0" w:space="0" w:color="auto"/>
            <w:right w:val="none" w:sz="0" w:space="0" w:color="auto"/>
          </w:divBdr>
          <w:divsChild>
            <w:div w:id="7000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5794">
      <w:bodyDiv w:val="1"/>
      <w:marLeft w:val="0"/>
      <w:marRight w:val="0"/>
      <w:marTop w:val="0"/>
      <w:marBottom w:val="0"/>
      <w:divBdr>
        <w:top w:val="none" w:sz="0" w:space="0" w:color="auto"/>
        <w:left w:val="none" w:sz="0" w:space="0" w:color="auto"/>
        <w:bottom w:val="none" w:sz="0" w:space="0" w:color="auto"/>
        <w:right w:val="none" w:sz="0" w:space="0" w:color="auto"/>
      </w:divBdr>
      <w:divsChild>
        <w:div w:id="1291132439">
          <w:marLeft w:val="0"/>
          <w:marRight w:val="0"/>
          <w:marTop w:val="0"/>
          <w:marBottom w:val="0"/>
          <w:divBdr>
            <w:top w:val="none" w:sz="0" w:space="0" w:color="auto"/>
            <w:left w:val="none" w:sz="0" w:space="0" w:color="auto"/>
            <w:bottom w:val="none" w:sz="0" w:space="0" w:color="auto"/>
            <w:right w:val="none" w:sz="0" w:space="0" w:color="auto"/>
          </w:divBdr>
        </w:div>
        <w:div w:id="1858150178">
          <w:marLeft w:val="0"/>
          <w:marRight w:val="0"/>
          <w:marTop w:val="0"/>
          <w:marBottom w:val="0"/>
          <w:divBdr>
            <w:top w:val="none" w:sz="0" w:space="0" w:color="auto"/>
            <w:left w:val="none" w:sz="0" w:space="0" w:color="auto"/>
            <w:bottom w:val="none" w:sz="0" w:space="0" w:color="auto"/>
            <w:right w:val="none" w:sz="0" w:space="0" w:color="auto"/>
          </w:divBdr>
        </w:div>
      </w:divsChild>
    </w:div>
    <w:div w:id="1807509099">
      <w:bodyDiv w:val="1"/>
      <w:marLeft w:val="0"/>
      <w:marRight w:val="0"/>
      <w:marTop w:val="0"/>
      <w:marBottom w:val="0"/>
      <w:divBdr>
        <w:top w:val="none" w:sz="0" w:space="0" w:color="auto"/>
        <w:left w:val="none" w:sz="0" w:space="0" w:color="auto"/>
        <w:bottom w:val="none" w:sz="0" w:space="0" w:color="auto"/>
        <w:right w:val="none" w:sz="0" w:space="0" w:color="auto"/>
      </w:divBdr>
      <w:divsChild>
        <w:div w:id="1523205543">
          <w:marLeft w:val="0"/>
          <w:marRight w:val="0"/>
          <w:marTop w:val="0"/>
          <w:marBottom w:val="0"/>
          <w:divBdr>
            <w:top w:val="none" w:sz="0" w:space="0" w:color="auto"/>
            <w:left w:val="none" w:sz="0" w:space="0" w:color="auto"/>
            <w:bottom w:val="none" w:sz="0" w:space="0" w:color="auto"/>
            <w:right w:val="none" w:sz="0" w:space="0" w:color="auto"/>
          </w:divBdr>
        </w:div>
        <w:div w:id="144199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 Samim</dc:creator>
  <cp:keywords/>
  <dc:description/>
  <cp:lastModifiedBy>kishorkumarshil01@gmail.com</cp:lastModifiedBy>
  <cp:revision>2</cp:revision>
  <dcterms:created xsi:type="dcterms:W3CDTF">2024-12-13T08:15:00Z</dcterms:created>
  <dcterms:modified xsi:type="dcterms:W3CDTF">2024-12-13T08:15:00Z</dcterms:modified>
</cp:coreProperties>
</file>