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b/>
          <w:bCs/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0F6D1A46" w14:textId="5E199E32" w:rsidR="00BC18F1" w:rsidRDefault="0029386C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434240" w:history="1">
                <w:r w:rsidR="00BC18F1" w:rsidRPr="00F20E94">
                  <w:rPr>
                    <w:rStyle w:val="Hiperhivatkozs"/>
                    <w:rFonts w:eastAsia="Times New Roman"/>
                    <w:b/>
                    <w:bCs/>
                    <w:noProof/>
                    <w:lang w:eastAsia="hu-HU"/>
                  </w:rPr>
                  <w:t>Cégleírás</w:t>
                </w:r>
                <w:r w:rsidR="00BC18F1">
                  <w:rPr>
                    <w:noProof/>
                    <w:webHidden/>
                  </w:rPr>
                  <w:tab/>
                </w:r>
                <w:r w:rsidR="00BC18F1">
                  <w:rPr>
                    <w:noProof/>
                    <w:webHidden/>
                  </w:rPr>
                  <w:fldChar w:fldCharType="begin"/>
                </w:r>
                <w:r w:rsidR="00BC18F1">
                  <w:rPr>
                    <w:noProof/>
                    <w:webHidden/>
                  </w:rPr>
                  <w:instrText xml:space="preserve"> PAGEREF _Toc119434240 \h </w:instrText>
                </w:r>
                <w:r w:rsidR="00BC18F1">
                  <w:rPr>
                    <w:noProof/>
                    <w:webHidden/>
                  </w:rPr>
                </w:r>
                <w:r w:rsidR="00BC18F1">
                  <w:rPr>
                    <w:noProof/>
                    <w:webHidden/>
                  </w:rPr>
                  <w:fldChar w:fldCharType="separate"/>
                </w:r>
                <w:r w:rsidR="00BC18F1">
                  <w:rPr>
                    <w:noProof/>
                    <w:webHidden/>
                  </w:rPr>
                  <w:t>1</w:t>
                </w:r>
                <w:r w:rsidR="00BC18F1">
                  <w:rPr>
                    <w:noProof/>
                    <w:webHidden/>
                  </w:rPr>
                  <w:fldChar w:fldCharType="end"/>
                </w:r>
              </w:hyperlink>
            </w:p>
            <w:p w14:paraId="679599FD" w14:textId="24F51690" w:rsidR="00BC18F1" w:rsidRDefault="00BC18F1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434241" w:history="1">
                <w:r w:rsidRPr="00F20E94">
                  <w:rPr>
                    <w:rStyle w:val="Hiperhivatkozs"/>
                    <w:b/>
                    <w:bCs/>
                    <w:noProof/>
                    <w:lang w:eastAsia="hu-HU"/>
                  </w:rPr>
                  <w:t>Használt protokollok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_Toc119434241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415F57" w14:textId="0D66A412" w:rsidR="00BC18F1" w:rsidRDefault="00BC18F1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434242" w:history="1">
                <w:r w:rsidRPr="00F20E94">
                  <w:rPr>
                    <w:rStyle w:val="Hiperhivatkozs"/>
                    <w:b/>
                    <w:bCs/>
                    <w:noProof/>
                  </w:rPr>
                  <w:t>Spanning Tree Protocol (Feszítőfa)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_Toc119434242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F3840A" w14:textId="33B70CD8" w:rsidR="00BC18F1" w:rsidRDefault="00BC18F1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434243" w:history="1">
                <w:r w:rsidRPr="00F20E94">
                  <w:rPr>
                    <w:rStyle w:val="Hiperhivatkozs"/>
                    <w:b/>
                    <w:bCs/>
                    <w:noProof/>
                  </w:rPr>
                  <w:t>HSRP (Hot S</w:t>
                </w:r>
                <w:r w:rsidRPr="00F20E94">
                  <w:rPr>
                    <w:rStyle w:val="Hiperhivatkozs"/>
                    <w:b/>
                    <w:bCs/>
                    <w:noProof/>
                  </w:rPr>
                  <w:t>t</w:t>
                </w:r>
                <w:r w:rsidRPr="00F20E94">
                  <w:rPr>
                    <w:rStyle w:val="Hiperhivatkozs"/>
                    <w:b/>
                    <w:bCs/>
                    <w:noProof/>
                  </w:rPr>
                  <w:t>andby Router Protocol)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_Toc119434243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1D6227" w14:textId="7FE91742" w:rsidR="00BC18F1" w:rsidRDefault="00BC18F1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434244" w:history="1">
                <w:r w:rsidRPr="00F20E94">
                  <w:rPr>
                    <w:rStyle w:val="Hiperhivatkozs"/>
                    <w:b/>
                    <w:bCs/>
                    <w:noProof/>
                    <w:lang w:eastAsia="hu-HU"/>
                  </w:rPr>
                  <w:t>Dunaföldvári telephely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_Toc119434244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4B4902" w14:textId="263E90E4" w:rsidR="00BC18F1" w:rsidRDefault="00BC18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434245" w:history="1">
                <w:r w:rsidRPr="00F20E94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Pr="00F20E94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Pr="00F20E94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_Toc119434245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3CBF91" w14:textId="68FF465B" w:rsidR="00BC18F1" w:rsidRDefault="00BC18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434246" w:history="1">
                <w:r w:rsidRPr="00F20E94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_Toc119434246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8E28D2" w14:textId="37E3A82D" w:rsidR="00BC18F1" w:rsidRDefault="00BC18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434247" w:history="1">
                <w:r w:rsidRPr="00F20E94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_Toc119434247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C0BF9A" w14:textId="47C07AB8" w:rsidR="00BC18F1" w:rsidRDefault="00BC18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434248" w:history="1">
                <w:r w:rsidRPr="00F20E94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_Toc119434248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836371" w14:textId="6775A69D" w:rsidR="00BC18F1" w:rsidRDefault="00BC18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434249" w:history="1">
                <w:r w:rsidRPr="00F20E94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_Toc119434249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8AC07D" w14:textId="7FB7694E" w:rsidR="00BC18F1" w:rsidRDefault="00BC18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434250" w:history="1">
                <w:r w:rsidRPr="00F20E94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_Toc119434250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075E77" w14:textId="29CFD280" w:rsidR="00BC18F1" w:rsidRDefault="00BC18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434251" w:history="1">
                <w:r w:rsidRPr="00F20E94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_Toc119434251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4A87D8" w14:textId="45BFDA2A" w:rsidR="0029386C" w:rsidRDefault="0029386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DA86369" w14:textId="121EF041" w:rsidR="00250F56" w:rsidRPr="0043461D" w:rsidRDefault="00250F56" w:rsidP="0043461D">
          <w:pPr>
            <w:pStyle w:val="Tartalomjegyzkcmsora"/>
            <w:sectPr w:rsidR="00250F56" w:rsidRPr="0043461D" w:rsidSect="008F20A9">
              <w:headerReference w:type="even" r:id="rId6"/>
              <w:headerReference w:type="default" r:id="rId7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</w:p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19434240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1" w:name="_Toc119434241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1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2" w:name="_Toc119434242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2"/>
        </w:p>
        <w:p w14:paraId="5E5CC606" w14:textId="77777777" w:rsidR="00CE3475" w:rsidRDefault="00CE3475" w:rsidP="00CE3475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AF2CDC0" wp14:editId="4FCC3729">
                <wp:simplePos x="0" y="0"/>
                <wp:positionH relativeFrom="column">
                  <wp:posOffset>3930650</wp:posOffset>
                </wp:positionH>
                <wp:positionV relativeFrom="paragraph">
                  <wp:posOffset>10795</wp:posOffset>
                </wp:positionV>
                <wp:extent cx="2139315" cy="2890520"/>
                <wp:effectExtent l="76200" t="76200" r="127635" b="138430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9315" cy="289052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A Feszítőfa egy automatikusan működő protokoll. Minden feszítőfa célja, hogy a 2. </w:t>
          </w:r>
          <w:proofErr w:type="spellStart"/>
          <w:r>
            <w:t>rétegbeli</w:t>
          </w:r>
          <w:proofErr w:type="spellEnd"/>
          <w:r>
            <w:t xml:space="preserve"> hurkot megelőzze, ehhez a </w:t>
          </w:r>
          <w:proofErr w:type="spellStart"/>
          <w:r>
            <w:t>switchek</w:t>
          </w:r>
          <w:proofErr w:type="spellEnd"/>
          <w:r>
            <w:t xml:space="preserve"> egy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algoritmust hívnak segítségül,</w:t>
          </w:r>
          <w:r w:rsidRPr="00197220">
            <w:t xml:space="preserve"> aminek mindig az a célja, hogy az adott feszítő fában megállapítsa, hogy hol és ki lesz a </w:t>
          </w:r>
          <w:proofErr w:type="spellStart"/>
          <w:r w:rsidRPr="00197220">
            <w:t>root</w:t>
          </w:r>
          <w:proofErr w:type="spellEnd"/>
          <w:r w:rsidRPr="00197220">
            <w:t xml:space="preserve"> </w:t>
          </w:r>
          <w:proofErr w:type="spellStart"/>
          <w:r w:rsidRPr="00197220">
            <w:t>bridge</w:t>
          </w:r>
          <w:proofErr w:type="spellEnd"/>
          <w:r w:rsidRPr="00197220">
            <w:t xml:space="preserve">, és hol jönnek létre </w:t>
          </w:r>
          <w:proofErr w:type="spellStart"/>
          <w:r w:rsidRPr="00197220">
            <w:t>designated</w:t>
          </w:r>
          <w:proofErr w:type="spellEnd"/>
          <w:r w:rsidRPr="00197220">
            <w:t xml:space="preserve"> portok, </w:t>
          </w:r>
          <w:proofErr w:type="spellStart"/>
          <w:r w:rsidRPr="00197220">
            <w:t>root</w:t>
          </w:r>
          <w:proofErr w:type="spellEnd"/>
          <w:r w:rsidRPr="00197220">
            <w:t xml:space="preserve"> portok és </w:t>
          </w:r>
          <w:proofErr w:type="spellStart"/>
          <w:r w:rsidRPr="00197220">
            <w:t>alternate</w:t>
          </w:r>
          <w:proofErr w:type="spellEnd"/>
          <w:r w:rsidRPr="00197220">
            <w:t xml:space="preserve"> portok. Ennek a folyamatnak a lejátszódása addig tart, amíg minden hurokban megállapításra nem kerül, hogy ki lesz a </w:t>
          </w:r>
          <w:proofErr w:type="spellStart"/>
          <w:r w:rsidRPr="00197220">
            <w:t>root</w:t>
          </w:r>
          <w:proofErr w:type="spellEnd"/>
          <w:r w:rsidRPr="00197220">
            <w:t xml:space="preserve"> </w:t>
          </w:r>
          <w:proofErr w:type="spellStart"/>
          <w:r w:rsidRPr="00197220">
            <w:t>bridge</w:t>
          </w:r>
          <w:proofErr w:type="spellEnd"/>
          <w:r w:rsidRPr="00197220">
            <w:t xml:space="preserve"> (amit a többiek elismernek </w:t>
          </w:r>
          <w:proofErr w:type="spellStart"/>
          <w:r w:rsidRPr="00197220">
            <w:t>root</w:t>
          </w:r>
          <w:proofErr w:type="spellEnd"/>
          <w:r w:rsidRPr="00197220">
            <w:t xml:space="preserve"> </w:t>
          </w:r>
          <w:proofErr w:type="spellStart"/>
          <w:r w:rsidRPr="00197220">
            <w:t>bridge-nek</w:t>
          </w:r>
          <w:proofErr w:type="spellEnd"/>
          <w:r w:rsidRPr="00197220">
            <w:t xml:space="preserve">, és hirdetik), és kialakításra kerül a hurok megszakítása egy </w:t>
          </w:r>
          <w:proofErr w:type="spellStart"/>
          <w:r w:rsidRPr="00197220">
            <w:t>alternate</w:t>
          </w:r>
          <w:proofErr w:type="spellEnd"/>
          <w:r w:rsidRPr="00197220">
            <w:t xml:space="preserve"> port segítségével.</w:t>
          </w:r>
          <w:r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 xml:space="preserve">A Rapid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</w:t>
          </w:r>
          <w:proofErr w:type="spellStart"/>
          <w:r>
            <w:t>Protocol</w:t>
          </w:r>
          <w:proofErr w:type="spellEnd"/>
          <w:r>
            <w:t xml:space="preserve"> -t használ</w:t>
          </w:r>
          <w:r w:rsidR="00E971C2">
            <w:t>juk</w:t>
          </w:r>
          <w:r>
            <w:t xml:space="preserve"> a gyorsabb konvergencia végett, amely külön kezeli a VLAN -</w:t>
          </w:r>
          <w:proofErr w:type="spellStart"/>
          <w:r>
            <w:t>okat</w:t>
          </w:r>
          <w:proofErr w:type="spellEnd"/>
          <w:r>
            <w:t>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</w:t>
          </w:r>
          <w:proofErr w:type="spellStart"/>
          <w:r>
            <w:t>Portfast</w:t>
          </w:r>
          <w:proofErr w:type="spellEnd"/>
          <w:r>
            <w:t xml:space="preserve"> technológia DHCP használata esetén hasznos, mert </w:t>
          </w:r>
          <w:proofErr w:type="spellStart"/>
          <w:r>
            <w:t>Portfast</w:t>
          </w:r>
          <w:proofErr w:type="spellEnd"/>
          <w:r>
            <w:t xml:space="preserve"> nélkül egy PC még azelőtt küldene DHCP kérést, hogy a port továbbító állapotba kerülne, így nem </w:t>
          </w:r>
          <w:r>
            <w:lastRenderedPageBreak/>
            <w:t xml:space="preserve">kapna használható IP-címet. A </w:t>
          </w:r>
          <w:proofErr w:type="spellStart"/>
          <w:r>
            <w:t>Portfast</w:t>
          </w:r>
          <w:proofErr w:type="spellEnd"/>
          <w:r>
            <w:t xml:space="preserve"> azonnal továbbító módba állítja a </w:t>
          </w:r>
          <w:proofErr w:type="spellStart"/>
          <w:r>
            <w:t>portot</w:t>
          </w:r>
          <w:proofErr w:type="spellEnd"/>
          <w:r>
            <w:t xml:space="preserve">, így a PC mindig kap IP-címet. </w:t>
          </w:r>
        </w:p>
        <w:p w14:paraId="391F259D" w14:textId="77777777" w:rsidR="00CE3475" w:rsidRPr="0099154E" w:rsidRDefault="00CE3475" w:rsidP="00CE3475">
          <w:pPr>
            <w:ind w:left="284"/>
          </w:pPr>
          <w:r>
            <w:t xml:space="preserve">Minden </w:t>
          </w:r>
          <w:proofErr w:type="spellStart"/>
          <w:r>
            <w:t>switchen</w:t>
          </w:r>
          <w:proofErr w:type="spellEnd"/>
          <w:r>
            <w:t xml:space="preserve"> beállítjuk a BPDU támadások elleni védelmet, így megakadályozzuk, hogy bizonyos portokon BPDU keretek haladhassanak át.</w:t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19434243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(Hot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3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69CA3D7D" w14:textId="3B3941DA" w:rsidR="004F0606" w:rsidRDefault="00BC18F1" w:rsidP="00134C0A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proofErr w:type="spellStart"/>
          <w:r>
            <w:t>first</w:t>
          </w:r>
          <w:proofErr w:type="spellEnd"/>
          <w:r>
            <w:t xml:space="preserve"> </w:t>
          </w:r>
          <w:proofErr w:type="spellStart"/>
          <w:r>
            <w:t>hop</w:t>
          </w:r>
          <w:proofErr w:type="spellEnd"/>
          <w:r w:rsidRPr="00BC18F1">
            <w:t xml:space="preserve"> redundanciát. A HSRP a forgalomirányítók egy csoportjából választ ki aktív és készenléti (</w:t>
          </w:r>
          <w:proofErr w:type="spellStart"/>
          <w:r w:rsidRPr="00BC18F1">
            <w:t>standby</w:t>
          </w:r>
          <w:proofErr w:type="spellEnd"/>
          <w:r w:rsidRPr="00BC18F1">
            <w:t>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1EA01201" w14:textId="094B1673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</w:t>
          </w:r>
          <w:proofErr w:type="spellStart"/>
          <w:r w:rsidR="00795F0A">
            <w:t>szórásos</w:t>
          </w:r>
          <w:proofErr w:type="spellEnd"/>
          <w:r w:rsidR="00795F0A">
            <w:t xml:space="preserve"> üzenet formájában (DHCP </w:t>
          </w:r>
          <w:proofErr w:type="spellStart"/>
          <w:r w:rsidR="00795F0A">
            <w:t>Discover</w:t>
          </w:r>
          <w:proofErr w:type="spellEnd"/>
          <w:r w:rsidR="00795F0A">
            <w:t xml:space="preserve">), hogy IP-címet szeretne magának. Ezt követően a protokollt futtató eszköz egy válaszban (DHCP </w:t>
          </w:r>
          <w:proofErr w:type="spellStart"/>
          <w:r w:rsidR="00795F0A">
            <w:t>Poffer</w:t>
          </w:r>
          <w:proofErr w:type="spellEnd"/>
          <w:r w:rsidR="00795F0A">
            <w:t xml:space="preserve">) leírja a kliensnek szánt IP-Címet, ehhez tartozó maszkot, átjárót, a DNS szerver IP-Címét illetve a bérlet időt. Ezt követően a kliensünk visszajelez (DHCP </w:t>
          </w:r>
          <w:proofErr w:type="spellStart"/>
          <w:r w:rsidR="00795F0A">
            <w:t>Request</w:t>
          </w:r>
          <w:proofErr w:type="spellEnd"/>
          <w:r w:rsidR="00795F0A">
            <w:t>), hogy számára megfelelnek a kapott címek</w:t>
          </w:r>
          <w:r w:rsidR="00F72D49">
            <w:t xml:space="preserve">, illetve a </w:t>
          </w:r>
          <w:r w:rsidR="00F72D49">
            <w:t xml:space="preserve">bérleti időt szintúgy </w:t>
          </w:r>
          <w:r w:rsidR="00F72D49">
            <w:t>ezzel a módszerrel</w:t>
          </w:r>
          <w:r w:rsidR="00F72D49">
            <w:t xml:space="preserve"> tudja meghosszabbítani. </w:t>
          </w:r>
          <w:r w:rsidR="00795F0A">
            <w:t xml:space="preserve">Végezetül pedig egy visszajelzést kap </w:t>
          </w:r>
          <w:r w:rsidR="00F72D49">
            <w:t xml:space="preserve">kliensünk a szervertől (DHCP </w:t>
          </w:r>
          <w:proofErr w:type="spellStart"/>
          <w:r w:rsidR="00F72D49">
            <w:t>Pack</w:t>
          </w:r>
          <w:proofErr w:type="spellEnd"/>
          <w:r w:rsidR="00F72D49">
            <w:t>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</w:t>
          </w:r>
          <w:proofErr w:type="spellStart"/>
          <w:r w:rsidR="00BC73D3">
            <w:t>Decline</w:t>
          </w:r>
          <w:proofErr w:type="spellEnd"/>
          <w:r w:rsidR="00BC73D3">
            <w:t xml:space="preserve">). Ha pedig az idő letelte előtt szeretne a kliens lemondani a bérletéről, azt is jelezheti a szerver felé (DHCP </w:t>
          </w:r>
          <w:proofErr w:type="spellStart"/>
          <w:r w:rsidR="00BC73D3">
            <w:t>Release</w:t>
          </w:r>
          <w:proofErr w:type="spellEnd"/>
          <w:r w:rsidR="00BC73D3">
            <w:t xml:space="preserve">). </w:t>
          </w:r>
        </w:p>
        <w:p w14:paraId="20A8FC8A" w14:textId="535AA4E6" w:rsidR="00FE0A4D" w:rsidRDefault="00312ADD" w:rsidP="00134C0A">
          <w:pPr>
            <w:ind w:left="284"/>
          </w:pPr>
          <w:r>
            <w:lastRenderedPageBreak/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5774EBE9" w14:textId="70D04BAA" w:rsidR="00134C0A" w:rsidRDefault="00134C0A" w:rsidP="00134C0A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OSPF (Open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</w:p>
        <w:p w14:paraId="01F3BAC3" w14:textId="746B72C2" w:rsidR="00134C0A" w:rsidRPr="00134C0A" w:rsidRDefault="00134C0A" w:rsidP="00134C0A">
          <w:pPr>
            <w:ind w:left="284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2D17F2">
            <w:t>Támogatja a változó hosszúságú alhálózati maszkolást, azaz a VLSM -</w:t>
          </w:r>
          <w:proofErr w:type="spellStart"/>
          <w:r w:rsidR="002D17F2">
            <w:t>et</w:t>
          </w:r>
          <w:proofErr w:type="spellEnd"/>
          <w:r w:rsidR="002D17F2">
            <w:t xml:space="preserve">. </w:t>
          </w:r>
        </w:p>
        <w:p w14:paraId="17465920" w14:textId="389D924A" w:rsidR="00AA2A6C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4" w:name="_Toc119434244"/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>D</w:t>
          </w:r>
          <w:r w:rsidR="005E3E81" w:rsidRPr="005E3E81">
            <w:rPr>
              <w:rFonts w:ascii="Times New Roman" w:hAnsi="Times New Roman" w:cs="Times New Roman"/>
              <w:b/>
              <w:bCs/>
              <w:lang w:eastAsia="hu-HU"/>
            </w:rPr>
            <w:t>u</w:t>
          </w:r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>naföldvár</w:t>
          </w:r>
          <w:r w:rsidR="00C11159">
            <w:rPr>
              <w:rFonts w:ascii="Times New Roman" w:hAnsi="Times New Roman" w:cs="Times New Roman"/>
              <w:b/>
              <w:bCs/>
              <w:lang w:eastAsia="hu-HU"/>
            </w:rPr>
            <w:t>i</w:t>
          </w:r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 xml:space="preserve"> telephely</w:t>
          </w:r>
          <w:bookmarkEnd w:id="4"/>
        </w:p>
        <w:p w14:paraId="00E3FCCC" w14:textId="1002937B" w:rsidR="00A157E6" w:rsidRPr="00D94EC4" w:rsidRDefault="00A157E6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5" w:name="_Toc119434245"/>
          <w:r w:rsidRPr="00D94EC4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>
            <w:rPr>
              <w:rFonts w:ascii="Times New Roman" w:hAnsi="Times New Roman" w:cs="Times New Roman"/>
              <w:b/>
              <w:bCs/>
              <w:sz w:val="28"/>
              <w:szCs w:val="28"/>
            </w:rPr>
            <w:t>szín</w:t>
          </w:r>
          <w:r w:rsidRPr="00D94EC4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5"/>
        </w:p>
        <w:p w14:paraId="410ABED4" w14:textId="1873B058" w:rsidR="00A157E6" w:rsidRPr="00A157E6" w:rsidRDefault="00DF1B3C" w:rsidP="00DF1B3C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>
            <w:rPr>
              <w:lang w:eastAsia="hu-HU"/>
            </w:rPr>
            <w:t xml:space="preserve">. </w:t>
          </w:r>
          <w:r w:rsidR="00A157E6">
            <w:rPr>
              <w:lang w:eastAsia="hu-HU"/>
            </w:rPr>
            <w:t xml:space="preserve">Az </w:t>
          </w:r>
          <w:r w:rsidR="00452303">
            <w:rPr>
              <w:lang w:eastAsia="hu-HU"/>
            </w:rPr>
            <w:t>i</w:t>
          </w:r>
          <w:r w:rsidR="00A157E6">
            <w:rPr>
              <w:lang w:eastAsia="hu-HU"/>
            </w:rPr>
            <w:t>rodaház egyik részlege felel a minőség-ellenőrzé</w:t>
          </w:r>
          <w:r w:rsidR="00B40D32">
            <w:rPr>
              <w:lang w:eastAsia="hu-HU"/>
            </w:rPr>
            <w:t>sért</w:t>
          </w:r>
          <w:r w:rsidR="007E6922">
            <w:rPr>
              <w:lang w:eastAsia="hu-HU"/>
            </w:rPr>
            <w:t xml:space="preserve"> és</w:t>
          </w:r>
          <w:r w:rsidR="00A157E6">
            <w:rPr>
              <w:lang w:eastAsia="hu-HU"/>
            </w:rPr>
            <w:t xml:space="preserve"> itt található az egész </w:t>
          </w:r>
          <w:proofErr w:type="spellStart"/>
          <w:r w:rsidR="00A157E6">
            <w:rPr>
              <w:lang w:eastAsia="hu-HU"/>
            </w:rPr>
            <w:t>telephelyet</w:t>
          </w:r>
          <w:proofErr w:type="spellEnd"/>
          <w:r w:rsidR="00A157E6">
            <w:rPr>
              <w:lang w:eastAsia="hu-HU"/>
            </w:rPr>
            <w:t xml:space="preserve"> ellátó szerverszoba</w:t>
          </w:r>
          <w:r w:rsidR="00BA0E27">
            <w:rPr>
              <w:lang w:eastAsia="hu-HU"/>
            </w:rPr>
            <w:t xml:space="preserve"> is</w:t>
          </w:r>
          <w:r w:rsidR="00A157E6">
            <w:rPr>
              <w:lang w:eastAsia="hu-HU"/>
            </w:rPr>
            <w:t>.</w:t>
          </w:r>
          <w:r w:rsidR="002C0ED5">
            <w:rPr>
              <w:lang w:eastAsia="hu-HU"/>
            </w:rPr>
            <w:t xml:space="preserve"> A szerverszobában megtalálható </w:t>
          </w:r>
          <w:proofErr w:type="spellStart"/>
          <w:r w:rsidR="002C0ED5">
            <w:rPr>
              <w:lang w:eastAsia="hu-HU"/>
            </w:rPr>
            <w:t>switchek</w:t>
          </w:r>
          <w:proofErr w:type="spellEnd"/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közvetlenül </w:t>
          </w:r>
          <w:r w:rsidR="007E6922">
            <w:rPr>
              <w:lang w:eastAsia="hu-HU"/>
            </w:rPr>
            <w:t>csatlakoznak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a többi </w:t>
          </w:r>
          <w:r w:rsidR="008267F2">
            <w:rPr>
              <w:lang w:eastAsia="hu-HU"/>
            </w:rPr>
            <w:t>helyiség kapcsolóihoz, ezzel csillagtopológiát alkot</w:t>
          </w:r>
          <w:r w:rsidR="00E50535">
            <w:rPr>
              <w:lang w:eastAsia="hu-HU"/>
            </w:rPr>
            <w:t>nak.</w:t>
          </w:r>
        </w:p>
      </w:sdtContent>
    </w:sdt>
    <w:p w14:paraId="0C13DDF1" w14:textId="22FC09DB" w:rsidR="000B6DF1" w:rsidRDefault="000B6DF1" w:rsidP="000B6DF1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19434246"/>
      <w:r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A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6"/>
    </w:p>
    <w:p w14:paraId="565714AC" w14:textId="3AF703C1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6CC35BBE" w:rsidR="00021029" w:rsidRDefault="00021029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19434247"/>
      <w:r w:rsidRPr="00021029">
        <w:rPr>
          <w:rFonts w:ascii="Times New Roman" w:hAnsi="Times New Roman" w:cs="Times New Roman"/>
          <w:b/>
          <w:bCs/>
          <w:sz w:val="28"/>
          <w:szCs w:val="28"/>
        </w:rPr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7"/>
    </w:p>
    <w:p w14:paraId="41FB25D4" w14:textId="0B7C0A43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402D6325" w:rsidR="004F5487" w:rsidRDefault="004F5487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19434248"/>
      <w:r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8"/>
    </w:p>
    <w:p w14:paraId="5EE4B7E9" w14:textId="253EC24C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05961801" w:rsidR="00035BAB" w:rsidRDefault="00F72233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19434249"/>
      <w:r w:rsidRPr="00F722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9"/>
    </w:p>
    <w:p w14:paraId="2E7417A1" w14:textId="36D32137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</w:p>
    <w:p w14:paraId="175D0E2A" w14:textId="0EC69E07" w:rsidR="00CC3956" w:rsidRDefault="00CC3956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19434250"/>
      <w:r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10"/>
    </w:p>
    <w:p w14:paraId="74A922CB" w14:textId="3767C89A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70CEBD38" w:rsidR="000A43B8" w:rsidRDefault="000A43B8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19434251"/>
      <w:r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11"/>
    </w:p>
    <w:p w14:paraId="463DFDE3" w14:textId="45515598" w:rsidR="000A43B8" w:rsidRP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sectPr w:rsidR="000A43B8" w:rsidRPr="000A43B8" w:rsidSect="002F5F7B">
      <w:headerReference w:type="even" r:id="rId9"/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B38C2" w14:textId="77777777" w:rsidR="007C5126" w:rsidRDefault="007C5126" w:rsidP="008F20A9">
      <w:pPr>
        <w:spacing w:after="0" w:line="240" w:lineRule="auto"/>
      </w:pPr>
      <w:r>
        <w:separator/>
      </w:r>
    </w:p>
  </w:endnote>
  <w:endnote w:type="continuationSeparator" w:id="0">
    <w:p w14:paraId="7B747FA7" w14:textId="77777777" w:rsidR="007C5126" w:rsidRDefault="007C5126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EndPr/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37C8" w14:textId="77777777" w:rsidR="007C5126" w:rsidRDefault="007C5126" w:rsidP="008F20A9">
      <w:pPr>
        <w:spacing w:after="0" w:line="240" w:lineRule="auto"/>
      </w:pPr>
      <w:r>
        <w:separator/>
      </w:r>
    </w:p>
  </w:footnote>
  <w:footnote w:type="continuationSeparator" w:id="0">
    <w:p w14:paraId="5B09931F" w14:textId="77777777" w:rsidR="007C5126" w:rsidRDefault="007C5126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74A95"/>
    <w:rsid w:val="000A43B8"/>
    <w:rsid w:val="000B6DF1"/>
    <w:rsid w:val="000C05ED"/>
    <w:rsid w:val="00110354"/>
    <w:rsid w:val="00134C0A"/>
    <w:rsid w:val="001415FD"/>
    <w:rsid w:val="001508F4"/>
    <w:rsid w:val="0019144E"/>
    <w:rsid w:val="00197220"/>
    <w:rsid w:val="001E5E95"/>
    <w:rsid w:val="0021332A"/>
    <w:rsid w:val="002144C1"/>
    <w:rsid w:val="00225193"/>
    <w:rsid w:val="00237148"/>
    <w:rsid w:val="00250F56"/>
    <w:rsid w:val="002704D5"/>
    <w:rsid w:val="0029025A"/>
    <w:rsid w:val="0029386C"/>
    <w:rsid w:val="002B6BD8"/>
    <w:rsid w:val="002C0ED5"/>
    <w:rsid w:val="002D17F2"/>
    <w:rsid w:val="002F5F7B"/>
    <w:rsid w:val="00312ADD"/>
    <w:rsid w:val="0032345B"/>
    <w:rsid w:val="00337C9E"/>
    <w:rsid w:val="00350866"/>
    <w:rsid w:val="0037548C"/>
    <w:rsid w:val="003B42EA"/>
    <w:rsid w:val="003C6962"/>
    <w:rsid w:val="003D0F74"/>
    <w:rsid w:val="003D4EFD"/>
    <w:rsid w:val="003F5EF6"/>
    <w:rsid w:val="00401EA8"/>
    <w:rsid w:val="00424710"/>
    <w:rsid w:val="0043461D"/>
    <w:rsid w:val="00436193"/>
    <w:rsid w:val="00452303"/>
    <w:rsid w:val="0049256F"/>
    <w:rsid w:val="004D69E4"/>
    <w:rsid w:val="004F0606"/>
    <w:rsid w:val="004F1886"/>
    <w:rsid w:val="004F5487"/>
    <w:rsid w:val="00503B68"/>
    <w:rsid w:val="00532FEF"/>
    <w:rsid w:val="005435C7"/>
    <w:rsid w:val="005A33EF"/>
    <w:rsid w:val="005E3781"/>
    <w:rsid w:val="005E3E81"/>
    <w:rsid w:val="005F45AB"/>
    <w:rsid w:val="006170FC"/>
    <w:rsid w:val="006C17B1"/>
    <w:rsid w:val="006C6C32"/>
    <w:rsid w:val="006E5B42"/>
    <w:rsid w:val="006F20AC"/>
    <w:rsid w:val="007056D1"/>
    <w:rsid w:val="00717A56"/>
    <w:rsid w:val="0072700F"/>
    <w:rsid w:val="007544B7"/>
    <w:rsid w:val="00785179"/>
    <w:rsid w:val="00787D7A"/>
    <w:rsid w:val="00795F0A"/>
    <w:rsid w:val="007C5126"/>
    <w:rsid w:val="007D548F"/>
    <w:rsid w:val="007D6411"/>
    <w:rsid w:val="007E23CB"/>
    <w:rsid w:val="007E6922"/>
    <w:rsid w:val="007F089A"/>
    <w:rsid w:val="007F4939"/>
    <w:rsid w:val="0080570E"/>
    <w:rsid w:val="008267F2"/>
    <w:rsid w:val="0086143C"/>
    <w:rsid w:val="00864684"/>
    <w:rsid w:val="00872BDA"/>
    <w:rsid w:val="0088446C"/>
    <w:rsid w:val="00893FE9"/>
    <w:rsid w:val="008A4C3B"/>
    <w:rsid w:val="008B271E"/>
    <w:rsid w:val="008C6D22"/>
    <w:rsid w:val="008E21A2"/>
    <w:rsid w:val="008F20A9"/>
    <w:rsid w:val="008F6038"/>
    <w:rsid w:val="00927B2D"/>
    <w:rsid w:val="00932B14"/>
    <w:rsid w:val="00936760"/>
    <w:rsid w:val="00941A41"/>
    <w:rsid w:val="00946C55"/>
    <w:rsid w:val="00947B6C"/>
    <w:rsid w:val="00953CE4"/>
    <w:rsid w:val="0096527C"/>
    <w:rsid w:val="0098476F"/>
    <w:rsid w:val="0099154E"/>
    <w:rsid w:val="009E0DE9"/>
    <w:rsid w:val="009E1B9D"/>
    <w:rsid w:val="009F104D"/>
    <w:rsid w:val="00A0429B"/>
    <w:rsid w:val="00A10183"/>
    <w:rsid w:val="00A157E6"/>
    <w:rsid w:val="00A25A43"/>
    <w:rsid w:val="00A25DEF"/>
    <w:rsid w:val="00A50B71"/>
    <w:rsid w:val="00A77675"/>
    <w:rsid w:val="00A859A0"/>
    <w:rsid w:val="00AA2A6C"/>
    <w:rsid w:val="00AA6C87"/>
    <w:rsid w:val="00AB5F6A"/>
    <w:rsid w:val="00AF068B"/>
    <w:rsid w:val="00B26574"/>
    <w:rsid w:val="00B31975"/>
    <w:rsid w:val="00B40D32"/>
    <w:rsid w:val="00B774E9"/>
    <w:rsid w:val="00B837FF"/>
    <w:rsid w:val="00B93EE4"/>
    <w:rsid w:val="00BA0E27"/>
    <w:rsid w:val="00BC18F1"/>
    <w:rsid w:val="00BC624E"/>
    <w:rsid w:val="00BC73D3"/>
    <w:rsid w:val="00BE2F4D"/>
    <w:rsid w:val="00C11159"/>
    <w:rsid w:val="00C13BEE"/>
    <w:rsid w:val="00C1486A"/>
    <w:rsid w:val="00C5741C"/>
    <w:rsid w:val="00C77DFF"/>
    <w:rsid w:val="00CA5DFF"/>
    <w:rsid w:val="00CC3956"/>
    <w:rsid w:val="00CC429D"/>
    <w:rsid w:val="00CC6602"/>
    <w:rsid w:val="00CE3475"/>
    <w:rsid w:val="00D402F3"/>
    <w:rsid w:val="00D51657"/>
    <w:rsid w:val="00D62F44"/>
    <w:rsid w:val="00D73AAC"/>
    <w:rsid w:val="00D8608D"/>
    <w:rsid w:val="00D862BF"/>
    <w:rsid w:val="00D94EC4"/>
    <w:rsid w:val="00D94FE9"/>
    <w:rsid w:val="00DB53DF"/>
    <w:rsid w:val="00DB58BF"/>
    <w:rsid w:val="00DD0F60"/>
    <w:rsid w:val="00DE2B16"/>
    <w:rsid w:val="00DF1B3C"/>
    <w:rsid w:val="00DF3107"/>
    <w:rsid w:val="00E37C0E"/>
    <w:rsid w:val="00E4339E"/>
    <w:rsid w:val="00E50535"/>
    <w:rsid w:val="00E6630A"/>
    <w:rsid w:val="00E81083"/>
    <w:rsid w:val="00E971C2"/>
    <w:rsid w:val="00EB6078"/>
    <w:rsid w:val="00EC55E1"/>
    <w:rsid w:val="00F346B3"/>
    <w:rsid w:val="00F51F7A"/>
    <w:rsid w:val="00F57BFC"/>
    <w:rsid w:val="00F644B7"/>
    <w:rsid w:val="00F72233"/>
    <w:rsid w:val="00F72D49"/>
    <w:rsid w:val="00F93CBB"/>
    <w:rsid w:val="00FA1252"/>
    <w:rsid w:val="00FB212D"/>
    <w:rsid w:val="00FB3358"/>
    <w:rsid w:val="00FC1C23"/>
    <w:rsid w:val="00FC42D1"/>
    <w:rsid w:val="00FE0A4D"/>
    <w:rsid w:val="00F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9386C"/>
    <w:pPr>
      <w:spacing w:after="100"/>
      <w:ind w:left="0"/>
    </w:p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A157E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1115</Words>
  <Characters>7696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Attila Fekete</cp:lastModifiedBy>
  <cp:revision>144</cp:revision>
  <dcterms:created xsi:type="dcterms:W3CDTF">2022-11-06T19:47:00Z</dcterms:created>
  <dcterms:modified xsi:type="dcterms:W3CDTF">2022-11-15T19:55:00Z</dcterms:modified>
</cp:coreProperties>
</file>