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62CB6187" w14:textId="5F19BCA0" w:rsidR="0090351A" w:rsidRDefault="0029386C" w:rsidP="0090351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1593535" w:history="1">
                <w:r w:rsidR="0090351A" w:rsidRPr="00C20E25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90351A">
                  <w:rPr>
                    <w:webHidden/>
                  </w:rPr>
                  <w:tab/>
                </w:r>
                <w:r w:rsidR="0090351A">
                  <w:rPr>
                    <w:webHidden/>
                  </w:rPr>
                  <w:fldChar w:fldCharType="begin"/>
                </w:r>
                <w:r w:rsidR="0090351A">
                  <w:rPr>
                    <w:webHidden/>
                  </w:rPr>
                  <w:instrText xml:space="preserve"> PAGEREF _Toc121593535 \h </w:instrText>
                </w:r>
                <w:r w:rsidR="0090351A">
                  <w:rPr>
                    <w:webHidden/>
                  </w:rPr>
                </w:r>
                <w:r w:rsidR="0090351A">
                  <w:rPr>
                    <w:webHidden/>
                  </w:rPr>
                  <w:fldChar w:fldCharType="separate"/>
                </w:r>
                <w:r w:rsidR="0090351A">
                  <w:rPr>
                    <w:webHidden/>
                  </w:rPr>
                  <w:t>1</w:t>
                </w:r>
                <w:r w:rsidR="0090351A">
                  <w:rPr>
                    <w:webHidden/>
                  </w:rPr>
                  <w:fldChar w:fldCharType="end"/>
                </w:r>
              </w:hyperlink>
            </w:p>
            <w:p w14:paraId="2F695854" w14:textId="2D20734D" w:rsidR="0090351A" w:rsidRDefault="0090351A" w:rsidP="0090351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1593536" w:history="1">
                <w:r w:rsidRPr="00C20E25">
                  <w:rPr>
                    <w:rStyle w:val="Hiperhivatkozs"/>
                    <w:lang w:eastAsia="hu-HU"/>
                  </w:rPr>
                  <w:t>Használt protokollok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76E51A6" w14:textId="45550E6F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37" w:history="1">
                <w:r w:rsidRPr="00C20E25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3F43EA" w14:textId="3A501A9B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38" w:history="1">
                <w:r w:rsidRPr="00C20E25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C1D5687" w14:textId="04376F4F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39" w:history="1">
                <w:r w:rsidRPr="00C20E25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C8D4FCF" w14:textId="02236124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40" w:history="1">
                <w:r w:rsidRPr="00C20E25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43B9F13" w14:textId="214431F2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41" w:history="1">
                <w:r w:rsidRPr="00C20E25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5284CD" w14:textId="170573E5" w:rsid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42" w:history="1">
                <w:r w:rsidRPr="00C20E25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EBD91B4" w14:textId="51E06389" w:rsidR="0090351A" w:rsidRPr="0090351A" w:rsidRDefault="0090351A" w:rsidP="0090351A">
              <w:pPr>
                <w:pStyle w:val="TJ3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43" w:history="1">
                <w:r w:rsidRPr="0090351A">
                  <w:rPr>
                    <w:rStyle w:val="Hiperhivatkozs"/>
                    <w:color w:val="000000" w:themeColor="text1"/>
                  </w:rPr>
                  <w:t>Vezeték nélküli hálózatok</w:t>
                </w:r>
                <w:r w:rsidRPr="0090351A">
                  <w:rPr>
                    <w:webHidden/>
                  </w:rPr>
                  <w:tab/>
                </w:r>
                <w:r w:rsidRPr="0090351A">
                  <w:rPr>
                    <w:webHidden/>
                  </w:rPr>
                  <w:fldChar w:fldCharType="begin"/>
                </w:r>
                <w:r w:rsidRPr="0090351A">
                  <w:rPr>
                    <w:webHidden/>
                  </w:rPr>
                  <w:instrText xml:space="preserve"> PAGEREF _Toc121593543 \h </w:instrText>
                </w:r>
                <w:r w:rsidRPr="0090351A">
                  <w:rPr>
                    <w:webHidden/>
                  </w:rPr>
                </w:r>
                <w:r w:rsidRPr="0090351A">
                  <w:rPr>
                    <w:webHidden/>
                  </w:rPr>
                  <w:fldChar w:fldCharType="separate"/>
                </w:r>
                <w:r w:rsidRPr="0090351A">
                  <w:rPr>
                    <w:webHidden/>
                  </w:rPr>
                  <w:t>4</w:t>
                </w:r>
                <w:r w:rsidRPr="0090351A">
                  <w:rPr>
                    <w:webHidden/>
                  </w:rPr>
                  <w:fldChar w:fldCharType="end"/>
                </w:r>
              </w:hyperlink>
            </w:p>
            <w:p w14:paraId="698B6913" w14:textId="2A4BE8EE" w:rsidR="0090351A" w:rsidRDefault="0090351A" w:rsidP="0090351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1593544" w:history="1">
                <w:r w:rsidRPr="00C20E25">
                  <w:rPr>
                    <w:rStyle w:val="Hiperhivatkozs"/>
                    <w:lang w:eastAsia="hu-HU"/>
                  </w:rPr>
                  <w:t>Dunaföldvári telephely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44AF112" w14:textId="748F0531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45" w:history="1">
                <w:r w:rsidRPr="00C20E25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Pr="00C20E25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Pr="00C20E25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0EF9FB" w14:textId="05E90CBF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46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90619" w14:textId="16E56213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47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8BC6D9" w14:textId="78FBD436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48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583D89" w14:textId="3915C319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49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D8E47" w14:textId="1884406A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50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882E03" w14:textId="5CE17223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51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9D200" w14:textId="0348DF7B" w:rsidR="0090351A" w:rsidRPr="0090351A" w:rsidRDefault="0090351A" w:rsidP="0090351A">
              <w:pPr>
                <w:pStyle w:val="TJ1"/>
                <w:rPr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pPr>
              <w:hyperlink w:anchor="_Toc121593552" w:history="1">
                <w:r w:rsidRPr="0090351A">
                  <w:rPr>
                    <w:rStyle w:val="Hiperhivatkozs"/>
                    <w:color w:val="000000" w:themeColor="text1"/>
                  </w:rPr>
                  <w:t>Adatközpont (Felhő)</w:t>
                </w:r>
                <w:r w:rsidRPr="0090351A">
                  <w:rPr>
                    <w:webHidden/>
                  </w:rPr>
                  <w:tab/>
                </w:r>
                <w:r w:rsidRPr="0090351A">
                  <w:rPr>
                    <w:webHidden/>
                  </w:rPr>
                  <w:fldChar w:fldCharType="begin"/>
                </w:r>
                <w:r w:rsidRPr="0090351A">
                  <w:rPr>
                    <w:webHidden/>
                  </w:rPr>
                  <w:instrText xml:space="preserve"> PAGEREF _Toc121593552 \h </w:instrText>
                </w:r>
                <w:r w:rsidRPr="0090351A">
                  <w:rPr>
                    <w:webHidden/>
                  </w:rPr>
                </w:r>
                <w:r w:rsidRPr="0090351A">
                  <w:rPr>
                    <w:webHidden/>
                  </w:rPr>
                  <w:fldChar w:fldCharType="separate"/>
                </w:r>
                <w:r w:rsidRPr="0090351A">
                  <w:rPr>
                    <w:webHidden/>
                  </w:rPr>
                  <w:t>7</w:t>
                </w:r>
                <w:r w:rsidRPr="0090351A">
                  <w:rPr>
                    <w:webHidden/>
                  </w:rPr>
                  <w:fldChar w:fldCharType="end"/>
                </w:r>
              </w:hyperlink>
            </w:p>
            <w:p w14:paraId="14DA2A96" w14:textId="57A918A0" w:rsidR="0090351A" w:rsidRDefault="0090351A" w:rsidP="0090351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1593553" w:history="1">
                <w:r w:rsidRPr="00C20E25">
                  <w:rPr>
                    <w:rStyle w:val="Hiperhivatkozs"/>
                  </w:rPr>
                  <w:t>Székesfehérvár Ügyfélközpont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_Toc121593553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A07524" w14:textId="631AA228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54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BAA5D7" w14:textId="292F37B5" w:rsidR="0090351A" w:rsidRDefault="0090351A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1593555" w:history="1">
                <w:r w:rsidRPr="00C20E25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_Toc121593555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9190C" w14:textId="6FBFC4D5" w:rsidR="0090351A" w:rsidRDefault="0090351A" w:rsidP="0090351A">
              <w:pPr>
                <w:pStyle w:val="TJ1"/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pPr>
              <w:hyperlink w:anchor="_Toc121593556" w:history="1">
                <w:r w:rsidRPr="00C20E25">
                  <w:rPr>
                    <w:rStyle w:val="Hiperhivatkozs"/>
                  </w:rPr>
                  <w:t>Forrásjegyzék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_Toc121593556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14A87D8" w14:textId="4DC2C996" w:rsidR="0029386C" w:rsidRDefault="0029386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DA86369" w14:textId="121EF041" w:rsidR="00250F56" w:rsidRPr="0043461D" w:rsidRDefault="00250F56" w:rsidP="0043461D">
          <w:pPr>
            <w:pStyle w:val="Tartalomjegyzkcmsora"/>
            <w:sectPr w:rsidR="00250F56" w:rsidRPr="0043461D" w:rsidSect="008F20A9">
              <w:headerReference w:type="even" r:id="rId8"/>
              <w:head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1593535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1" w:name="_Toc121593536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1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2" w:name="_Toc121593537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2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7466F9A9" w:rsidR="00F25C31" w:rsidRPr="0099154E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1593538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3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1EA01201" w14:textId="094B1673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1593539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4C6D32BF" w:rsidR="00F25C31" w:rsidRDefault="00312ADD" w:rsidP="00F25C31">
          <w:pPr>
            <w:ind w:left="284"/>
          </w:pPr>
          <w:r>
            <w:lastRenderedPageBreak/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5774EBE9" w14:textId="70D04BAA" w:rsidR="00134C0A" w:rsidRDefault="00134C0A" w:rsidP="00134C0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1593540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01F3BAC3" w14:textId="49E20CB0" w:rsidR="00134C0A" w:rsidRDefault="00134C0A" w:rsidP="00134C0A">
          <w:pPr>
            <w:ind w:left="284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134C0A">
          <w:pPr>
            <w:ind w:left="284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134C0A">
          <w:pPr>
            <w:ind w:left="284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134C0A">
          <w:pPr>
            <w:ind w:left="284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7022278F" w14:textId="3D4064DF" w:rsidR="00CC48A7" w:rsidRDefault="00CC48A7" w:rsidP="00CC48A7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6" w:name="_Toc121593541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VTP (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Vlan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Trunking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 xml:space="preserve"> </w:t>
          </w:r>
          <w:proofErr w:type="spellStart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Protocol</w:t>
          </w:r>
          <w:proofErr w:type="spellEnd"/>
          <w:r w:rsidRPr="00441B9C">
            <w:rPr>
              <w:rFonts w:ascii="Times New Roman" w:hAnsi="Times New Roman" w:cs="Times New Roman"/>
              <w:b/>
              <w:bCs/>
              <w:color w:val="2F5597"/>
            </w:rPr>
            <w:t>)</w:t>
          </w:r>
          <w:bookmarkEnd w:id="6"/>
        </w:p>
        <w:p w14:paraId="6A6AA0F1" w14:textId="4CC95599" w:rsidR="00441B9C" w:rsidRDefault="00441B9C" w:rsidP="00441B9C">
          <w:pPr>
            <w:ind w:left="284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4F020B21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700404C9" w14:textId="77777777" w:rsidR="0047237C" w:rsidRDefault="0047237C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</w:p>
        <w:p w14:paraId="40E47C9B" w14:textId="46095B65" w:rsidR="00BF7EE5" w:rsidRDefault="00BF7EE5" w:rsidP="00BF7EE5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597"/>
            </w:rPr>
          </w:pPr>
          <w:bookmarkStart w:id="7" w:name="_Toc121593542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 xml:space="preserve">Link </w:t>
          </w:r>
          <w:proofErr w:type="spellStart"/>
          <w:r w:rsidRPr="00BF7EE5">
            <w:rPr>
              <w:rFonts w:ascii="Times New Roman" w:hAnsi="Times New Roman" w:cs="Times New Roman"/>
              <w:b/>
              <w:bCs/>
              <w:color w:val="2F5597"/>
            </w:rPr>
            <w:t>Aggregation</w:t>
          </w:r>
          <w:bookmarkEnd w:id="7"/>
          <w:proofErr w:type="spellEnd"/>
        </w:p>
        <w:p w14:paraId="477D9195" w14:textId="23301F8B" w:rsidR="004176A9" w:rsidRDefault="0047237C" w:rsidP="00BF7EE5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BF7EE5">
          <w:pPr>
            <w:ind w:left="284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B795F47" w14:textId="7B47E3D4" w:rsidR="00C05E6B" w:rsidRDefault="00C05E6B" w:rsidP="00C05E6B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bookmarkStart w:id="8" w:name="_Toc121593543"/>
          <w:r w:rsidRPr="00C05E6B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>Vezeték</w:t>
          </w:r>
          <w:r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 xml:space="preserve"> </w:t>
          </w:r>
          <w:r w:rsidRPr="00C05E6B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>nélküli hálózatok</w:t>
          </w:r>
          <w:bookmarkEnd w:id="8"/>
        </w:p>
        <w:p w14:paraId="55682821" w14:textId="19411DF0" w:rsidR="00C05E6B" w:rsidRDefault="00C05E6B" w:rsidP="00C05E6B">
          <w:pPr>
            <w:ind w:left="142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C05E6B">
          <w:pPr>
            <w:ind w:left="142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90351A">
          <w:pPr>
            <w:pStyle w:val="Listaszerbekezds"/>
            <w:ind w:left="284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</w:t>
          </w:r>
          <w:r w:rsidR="00801C77">
            <w:lastRenderedPageBreak/>
            <w:t xml:space="preserve">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6E8EC34" w14:textId="6882F01B" w:rsidR="0090351A" w:rsidRDefault="0090351A" w:rsidP="0090351A">
          <w:pPr>
            <w:pStyle w:val="Cmsor3"/>
            <w:ind w:left="142" w:firstLine="142"/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r w:rsidRPr="0090351A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 xml:space="preserve">IPv4 </w:t>
          </w:r>
          <w:r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>c</w:t>
          </w:r>
          <w:r w:rsidRPr="0090351A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>ím</w:t>
          </w:r>
        </w:p>
        <w:p w14:paraId="31F0E274" w14:textId="77777777" w:rsidR="005A3534" w:rsidRDefault="0090351A" w:rsidP="005A3534">
          <w:pPr>
            <w:ind w:left="284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5A3534">
          <w:pPr>
            <w:ind w:left="284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5A3534">
          <w:pPr>
            <w:ind w:left="284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2F04F4D" w:rsidR="00092DF1" w:rsidRDefault="00092DF1" w:rsidP="00092DF1">
          <w:pPr>
            <w:pStyle w:val="Cmsor3"/>
            <w:ind w:left="284" w:firstLine="0"/>
            <w:rPr>
              <w:rFonts w:ascii="Times New Roman" w:hAnsi="Times New Roman" w:cs="Times New Roman"/>
              <w:b/>
              <w:bCs/>
              <w:color w:val="2F5496" w:themeColor="accent1" w:themeShade="BF"/>
            </w:rPr>
          </w:pPr>
          <w:r w:rsidRPr="00092DF1">
            <w:rPr>
              <w:rFonts w:ascii="Times New Roman" w:hAnsi="Times New Roman" w:cs="Times New Roman"/>
              <w:b/>
              <w:bCs/>
              <w:color w:val="2F5496" w:themeColor="accent1" w:themeShade="BF"/>
            </w:rPr>
            <w:t>IPv6 cím</w:t>
          </w:r>
        </w:p>
        <w:p w14:paraId="181F1CF5" w14:textId="6118C4DF" w:rsidR="00092DF1" w:rsidRDefault="00092DF1" w:rsidP="00092DF1">
          <w:pPr>
            <w:ind w:left="284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092DF1">
          <w:pPr>
            <w:ind w:left="284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554A73">
          <w:pPr>
            <w:ind w:left="284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554A73">
          <w:pPr>
            <w:ind w:left="284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9" w:name="_Toc121593544"/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lastRenderedPageBreak/>
            <w:t>D</w:t>
          </w:r>
          <w:r w:rsidR="005E3E81" w:rsidRPr="005E3E81">
            <w:rPr>
              <w:rFonts w:ascii="Times New Roman" w:hAnsi="Times New Roman" w:cs="Times New Roman"/>
              <w:b/>
              <w:bCs/>
              <w:lang w:eastAsia="hu-HU"/>
            </w:rPr>
            <w:t>u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>naföldvár</w:t>
          </w:r>
          <w:r w:rsidR="00C11159">
            <w:rPr>
              <w:rFonts w:ascii="Times New Roman" w:hAnsi="Times New Roman" w:cs="Times New Roman"/>
              <w:b/>
              <w:bCs/>
              <w:lang w:eastAsia="hu-HU"/>
            </w:rPr>
            <w:t>i</w:t>
          </w:r>
          <w:r w:rsidRPr="005E3E81">
            <w:rPr>
              <w:rFonts w:ascii="Times New Roman" w:hAnsi="Times New Roman" w:cs="Times New Roman"/>
              <w:b/>
              <w:bCs/>
              <w:lang w:eastAsia="hu-HU"/>
            </w:rPr>
            <w:t xml:space="preserve"> telephely</w:t>
          </w:r>
          <w:bookmarkEnd w:id="9"/>
        </w:p>
        <w:p w14:paraId="00E3FCCC" w14:textId="1002937B" w:rsidR="00A157E6" w:rsidRPr="00D94EC4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0" w:name="_Toc121593545"/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>
            <w:rPr>
              <w:rFonts w:ascii="Times New Roman" w:hAnsi="Times New Roman" w:cs="Times New Roman"/>
              <w:b/>
              <w:bCs/>
              <w:sz w:val="28"/>
              <w:szCs w:val="28"/>
            </w:rPr>
            <w:t>szín</w:t>
          </w:r>
          <w:r w:rsidRPr="00D94EC4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0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1593546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1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 xml:space="preserve">A beérkezett alapanyagot külön kóddal </w:t>
      </w:r>
      <w:r w:rsidR="00A77675">
        <w:lastRenderedPageBreak/>
        <w:t>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1593547"/>
      <w:r w:rsidRPr="00021029">
        <w:rPr>
          <w:rFonts w:ascii="Times New Roman" w:hAnsi="Times New Roman" w:cs="Times New Roman"/>
          <w:b/>
          <w:bCs/>
          <w:sz w:val="28"/>
          <w:szCs w:val="28"/>
        </w:rPr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2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21593548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3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1593549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1593550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5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1593551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6"/>
    </w:p>
    <w:p w14:paraId="463DFDE3" w14:textId="501D7F7A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17" w:name="_Toc121593552"/>
      <w:r w:rsidRPr="0017068F">
        <w:rPr>
          <w:rFonts w:ascii="Times New Roman" w:hAnsi="Times New Roman" w:cs="Times New Roman"/>
          <w:b/>
          <w:bCs/>
        </w:rPr>
        <w:lastRenderedPageBreak/>
        <w:t>Adatközpont (Felhő)</w:t>
      </w:r>
      <w:bookmarkEnd w:id="17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</w:rPr>
      </w:pPr>
      <w:bookmarkStart w:id="18" w:name="_Toc121593553"/>
      <w:r w:rsidRPr="00765C4B">
        <w:rPr>
          <w:rFonts w:ascii="Times New Roman" w:hAnsi="Times New Roman" w:cs="Times New Roman"/>
          <w:b/>
          <w:bCs/>
        </w:rPr>
        <w:t>Székesfehérvár Ügyfélközpont</w:t>
      </w:r>
      <w:bookmarkEnd w:id="18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 xml:space="preserve">Emellett egy-egy irodai nyomtató is helyet kapott az épületekben. Az itt dolgozók bejelentkezési adataik, email címük az </w:t>
      </w:r>
      <w:r w:rsidR="00F02C88">
        <w:t>épületekben</w:t>
      </w:r>
      <w:r w:rsidR="00F02C88">
        <w:t xml:space="preserve"> elhelyezett </w:t>
      </w:r>
      <w:r w:rsidR="00F02C88">
        <w:t>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>.</w:t>
      </w:r>
      <w:r w:rsidR="00F02C88">
        <w:t xml:space="preserve">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</w:rPr>
      </w:pPr>
      <w:bookmarkStart w:id="19" w:name="_Toc121593554"/>
      <w:r w:rsidRPr="00765C4B">
        <w:rPr>
          <w:rFonts w:ascii="Times New Roman" w:hAnsi="Times New Roman" w:cs="Times New Roman"/>
          <w:b/>
          <w:bCs/>
        </w:rPr>
        <w:t>Székesfehérvár ügyfélszolgálat 1. épület</w:t>
      </w:r>
      <w:bookmarkEnd w:id="19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</w:rPr>
      </w:pPr>
      <w:bookmarkStart w:id="20" w:name="_Toc121593555"/>
      <w:r w:rsidRPr="005D7D9F">
        <w:rPr>
          <w:rFonts w:ascii="Times New Roman" w:hAnsi="Times New Roman" w:cs="Times New Roman"/>
          <w:b/>
          <w:bCs/>
        </w:rPr>
        <w:t>Székesfehérvár ügyfélszolgálat 2. épület</w:t>
      </w:r>
      <w:bookmarkEnd w:id="20"/>
    </w:p>
    <w:p w14:paraId="46D6E80E" w14:textId="6AAFFA14" w:rsidR="00091139" w:rsidRPr="005D7D9F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megkereséseket továbbítása, kezelése, illetve a meglévő partnerekkel való kommunikáció lebonyolítása a feladatuk.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1" w:name="_Toc121593556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1"/>
    </w:p>
    <w:p w14:paraId="7D017FD0" w14:textId="13F85026" w:rsidR="00707D7A" w:rsidRPr="00707D7A" w:rsidRDefault="00C87AF2" w:rsidP="0052429E">
      <w:pPr>
        <w:ind w:firstLine="0"/>
        <w:jc w:val="left"/>
      </w:pPr>
      <w:hyperlink r:id="rId13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2F5F7B">
      <w:headerReference w:type="even" r:id="rId14"/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63DF" w14:textId="77777777" w:rsidR="00C87AF2" w:rsidRDefault="00C87AF2" w:rsidP="008F20A9">
      <w:pPr>
        <w:spacing w:after="0" w:line="240" w:lineRule="auto"/>
      </w:pPr>
      <w:r>
        <w:separator/>
      </w:r>
    </w:p>
  </w:endnote>
  <w:endnote w:type="continuationSeparator" w:id="0">
    <w:p w14:paraId="1E236C63" w14:textId="77777777" w:rsidR="00C87AF2" w:rsidRDefault="00C87AF2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A59F" w14:textId="77777777" w:rsidR="00C87AF2" w:rsidRDefault="00C87AF2" w:rsidP="008F20A9">
      <w:pPr>
        <w:spacing w:after="0" w:line="240" w:lineRule="auto"/>
      </w:pPr>
      <w:r>
        <w:separator/>
      </w:r>
    </w:p>
  </w:footnote>
  <w:footnote w:type="continuationSeparator" w:id="0">
    <w:p w14:paraId="41602345" w14:textId="77777777" w:rsidR="00C87AF2" w:rsidRDefault="00C87AF2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E2F4D"/>
    <w:rsid w:val="00BF39B1"/>
    <w:rsid w:val="00BF7EE5"/>
    <w:rsid w:val="00C05E6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6630A"/>
    <w:rsid w:val="00E81083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tworkustad.com/2019/11/08/etherchannel-protocols-pagp-and-lac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2124</Words>
  <Characters>14661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219</cp:revision>
  <dcterms:created xsi:type="dcterms:W3CDTF">2022-11-06T19:47:00Z</dcterms:created>
  <dcterms:modified xsi:type="dcterms:W3CDTF">2022-12-10T18:58:00Z</dcterms:modified>
</cp:coreProperties>
</file>