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0"/>
              <w:left w:type="dxa" w:w="600"/>
              <w:bottom w:type="dxa" w:w="2000"/>
              <w:right w:type="dxa" w:w="600"/>
            </w:tcMar>
          </w:tcPr>
          <w:p>
            <w:pPr>
              <w:spacing w:after="120" w:before="0"/>
              <w:jc w:val="center"/>
            </w:pPr>
            <w:r>
              <w:rPr>
                <w:rFonts w:ascii="Arial" w:cs="Arial" w:eastAsia="Arial" w:hAnsi="Arial"/>
                <w:b/>
                <w:bCs/>
                <w:color w:val="C8960C"/>
                <w:sz w:val="96"/>
                <w:szCs w:val="96"/>
              </w:rPr>
              <w:t xml:space="preserve">MGT</w:t>
            </w:r>
          </w:p>
          <w:p>
            <w:pPr>
              <w:spacing w:after="240" w:before="0"/>
              <w:jc w:val="center"/>
            </w:pPr>
            <w:r>
              <w:rPr>
                <w:rFonts w:ascii="Arial" w:cs="Arial" w:eastAsia="Arial" w:hAnsi="Arial"/>
                <w:color w:val="FFFFFF"/>
                <w:sz w:val="36"/>
                <w:szCs w:val="36"/>
              </w:rPr>
              <w:t xml:space="preserve">MgucaTECH</w:t>
            </w:r>
          </w:p>
          <w:p>
            <w:pPr>
              <w:spacing w:after="120" w:before="0"/>
              <w:jc w:val="center"/>
            </w:pPr>
            <w:r>
              <w:rPr>
                <w:rFonts w:ascii="Arial" w:cs="Arial" w:eastAsia="Arial" w:hAnsi="Arial"/>
                <w:b/>
                <w:bCs/>
                <w:color w:val="FFFFFF"/>
                <w:sz w:val="48"/>
                <w:szCs w:val="48"/>
              </w:rPr>
              <w:t xml:space="preserve">COMPANY POLICY MANUAL</w:t>
            </w:r>
          </w:p>
          <w:p>
            <w:pPr>
              <w:spacing w:after="480" w:before="0"/>
              <w:jc w:val="center"/>
            </w:pPr>
            <w:r>
              <w:rPr>
                <w:rFonts w:ascii="Arial" w:cs="Arial" w:eastAsia="Arial" w:hAnsi="Arial"/>
                <w:b/>
                <w:bCs/>
                <w:color w:val="C8960C"/>
                <w:sz w:val="40"/>
                <w:szCs w:val="40"/>
              </w:rPr>
              <w:t xml:space="preserve">&amp; EMPLOYEE HANDBOOK</w:t>
            </w:r>
          </w:p>
          <w:p>
            <w:pPr>
              <w:spacing w:after="80" w:before="0"/>
              <w:jc w:val="center"/>
            </w:pPr>
            <w:r>
              <w:rPr>
                <w:rFonts w:ascii="Arial" w:cs="Arial" w:eastAsia="Arial" w:hAnsi="Arial"/>
                <w:color w:val="D5E0F0"/>
                <w:sz w:val="22"/>
                <w:szCs w:val="22"/>
              </w:rPr>
              <w:t xml:space="preserve">Effective Date: January 1, 2025</w:t>
            </w:r>
          </w:p>
          <w:p>
            <w:pPr>
              <w:spacing w:after="0" w:before="0"/>
              <w:jc w:val="center"/>
            </w:pPr>
            <w:r>
              <w:rPr>
                <w:rFonts w:ascii="Arial" w:cs="Arial" w:eastAsia="Arial" w:hAnsi="Arial"/>
                <w:color w:val="D5E0F0"/>
                <w:sz w:val="22"/>
                <w:szCs w:val="22"/>
              </w:rPr>
              <w:t xml:space="preserve">Version 1.0  |  Confidential</w:t>
            </w:r>
          </w:p>
        </w:tc>
      </w:tr>
    </w:tbl>
    <w:p>
      <w:r>
        <w:br w:type="page"/>
      </w:r>
    </w:p>
    <w:p>
      <w:pPr>
        <w:pStyle w:val="Heading1"/>
        <w:pBdr>
          <w:bottom w:val="single" w:color="C8960C" w:sz="6" w:space="4"/>
        </w:pBdr>
        <w:spacing w:after="160" w:before="360"/>
      </w:pPr>
      <w:r>
        <w:rPr>
          <w:rFonts w:ascii="Arial" w:cs="Arial" w:eastAsia="Arial" w:hAnsi="Arial"/>
          <w:b/>
          <w:bCs/>
          <w:color w:val="1B3A6B"/>
          <w:sz w:val="36"/>
          <w:szCs w:val="36"/>
        </w:rPr>
        <w:t xml:space="preserve">Introduction</w:t>
      </w:r>
    </w:p>
    <w:p>
      <w:pPr>
        <w:spacing w:after="120" w:before="0"/>
      </w:pPr>
      <w:r>
        <w:rPr>
          <w:rFonts w:ascii="Arial" w:cs="Arial" w:eastAsia="Arial" w:hAnsi="Arial"/>
          <w:color w:val="1A1A2E"/>
          <w:sz w:val="20"/>
          <w:szCs w:val="20"/>
        </w:rPr>
        <w:t xml:space="preserve">Welcome to MGT (MgucaTECH). This Policy Manual and Employee Handbook has been designed to provide every employee, manager, and contractor with a clear, comprehensive, and accessible reference covering the standards, expectations, rights, and responsibilities that govern our workplace.</w:t>
      </w:r>
    </w:p>
    <w:p>
      <w:pPr>
        <w:spacing w:after="120" w:before="0"/>
      </w:pPr>
      <w:r>
        <w:rPr>
          <w:rFonts w:ascii="Arial" w:cs="Arial" w:eastAsia="Arial" w:hAnsi="Arial"/>
          <w:color w:val="1A1A2E"/>
          <w:sz w:val="20"/>
          <w:szCs w:val="20"/>
        </w:rPr>
        <w:t xml:space="preserve">MGT is committed to building a workplace that is safe, inclusive, fair, and productive. The policies contained in this document represent our shared commitment to these values and our obligation to operate in full compliance with all applicable laws and regulations.</w:t>
      </w:r>
    </w:p>
    <w:p>
      <w:pPr>
        <w:spacing w:after="120" w:before="0"/>
      </w:pPr>
      <w:r>
        <w:rPr>
          <w:rFonts w:ascii="Arial" w:cs="Arial" w:eastAsia="Arial" w:hAnsi="Arial"/>
          <w:color w:val="1A1A2E"/>
          <w:sz w:val="20"/>
          <w:szCs w:val="20"/>
        </w:rPr>
        <w:t xml:space="preserve">This document supersedes all previous versions of any company policy, employee handbook, or workplace guidelines. All employees are expected to read, understand, and adhere to the policies contained herein. Please direct any questions to the Human Resources department.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Organisation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 MgucaTECH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Policy Manual &amp; Employee Handbook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Annual (or as required by legislative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 Department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Board of Directors / Chief Executive Officer</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01</w:t>
            </w:r>
          </w:p>
          <w:p>
            <w:pPr>
              <w:spacing w:after="0" w:before="0"/>
            </w:pPr>
            <w:r>
              <w:rPr>
                <w:rFonts w:ascii="Arial" w:cs="Arial" w:eastAsia="Arial" w:hAnsi="Arial"/>
                <w:b/>
                <w:bCs/>
                <w:color w:val="FFFFFF"/>
                <w:sz w:val="32"/>
                <w:szCs w:val="32"/>
              </w:rPr>
              <w:t xml:space="preserve">Code of Conduct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contractors, directors, and representatives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1.1 Purpose</w:t>
      </w:r>
    </w:p>
    <w:p>
      <w:pPr>
        <w:spacing w:after="120" w:before="0"/>
      </w:pPr>
      <w:r>
        <w:rPr>
          <w:rFonts w:ascii="Arial" w:cs="Arial" w:eastAsia="Arial" w:hAnsi="Arial"/>
          <w:color w:val="1A1A2E"/>
          <w:sz w:val="20"/>
          <w:szCs w:val="20"/>
        </w:rPr>
        <w:t xml:space="preserve">This Code of Conduct Policy establishes the ethical and behavioural standards expected of all individuals associated with MGT. It serves as a foundation for integrity, mutual respect, and professional excellence throughout the organisation.</w:t>
      </w:r>
    </w:p>
    <w:p>
      <w:pPr>
        <w:pStyle w:val="Heading2"/>
        <w:spacing w:after="120" w:before="240"/>
      </w:pPr>
      <w:r>
        <w:rPr>
          <w:rFonts w:ascii="Arial" w:cs="Arial" w:eastAsia="Arial" w:hAnsi="Arial"/>
          <w:b/>
          <w:bCs/>
          <w:color w:val="1B3A6B"/>
          <w:sz w:val="26"/>
          <w:szCs w:val="26"/>
        </w:rPr>
        <w:t xml:space="preserve">1.2 Scope</w:t>
      </w:r>
    </w:p>
    <w:p>
      <w:pPr>
        <w:spacing w:after="120" w:before="0"/>
      </w:pPr>
      <w:r>
        <w:rPr>
          <w:rFonts w:ascii="Arial" w:cs="Arial" w:eastAsia="Arial" w:hAnsi="Arial"/>
          <w:color w:val="1A1A2E"/>
          <w:sz w:val="20"/>
          <w:szCs w:val="20"/>
        </w:rPr>
        <w:t xml:space="preserve">This policy applies to all full-time employees, part-time employees, temporary staff, contractors, consultants, board members, and any person acting on behalf of MGT, regardless of location or employment status.</w:t>
      </w:r>
    </w:p>
    <w:p>
      <w:pPr>
        <w:pStyle w:val="Heading2"/>
        <w:spacing w:after="120" w:before="240"/>
      </w:pPr>
      <w:r>
        <w:rPr>
          <w:rFonts w:ascii="Arial" w:cs="Arial" w:eastAsia="Arial" w:hAnsi="Arial"/>
          <w:b/>
          <w:bCs/>
          <w:color w:val="1B3A6B"/>
          <w:sz w:val="26"/>
          <w:szCs w:val="26"/>
        </w:rPr>
        <w:t xml:space="preserve">1.3 Core Values &amp; Behavioural Standards</w:t>
      </w:r>
    </w:p>
    <w:p>
      <w:pPr>
        <w:pStyle w:val="Heading3"/>
        <w:spacing w:after="80" w:before="180"/>
      </w:pPr>
      <w:r>
        <w:rPr>
          <w:rFonts w:ascii="Arial" w:cs="Arial" w:eastAsia="Arial" w:hAnsi="Arial"/>
          <w:b/>
          <w:bCs/>
          <w:color w:val="555555"/>
          <w:sz w:val="22"/>
          <w:szCs w:val="22"/>
        </w:rPr>
        <w:t xml:space="preserve">1.3.1 Integrity</w:t>
      </w:r>
    </w:p>
    <w:p>
      <w:pPr>
        <w:pStyle w:val="ListParagraph"/>
        <w:numPr>
          <w:ilvl w:val="0"/>
          <w:numId w:val="2"/>
        </w:numPr>
        <w:spacing w:after="80" w:before="0"/>
      </w:pPr>
      <w:r>
        <w:rPr>
          <w:rFonts w:ascii="Arial" w:cs="Arial" w:eastAsia="Arial" w:hAnsi="Arial"/>
          <w:color w:val="1A1A2E"/>
          <w:sz w:val="20"/>
          <w:szCs w:val="20"/>
        </w:rPr>
        <w:t xml:space="preserve">Act honestly and transparently in all business dealings.</w:t>
      </w:r>
    </w:p>
    <w:p>
      <w:pPr>
        <w:pStyle w:val="ListParagraph"/>
        <w:numPr>
          <w:ilvl w:val="0"/>
          <w:numId w:val="2"/>
        </w:numPr>
        <w:spacing w:after="80" w:before="0"/>
      </w:pPr>
      <w:r>
        <w:rPr>
          <w:rFonts w:ascii="Arial" w:cs="Arial" w:eastAsia="Arial" w:hAnsi="Arial"/>
          <w:color w:val="1A1A2E"/>
          <w:sz w:val="20"/>
          <w:szCs w:val="20"/>
        </w:rPr>
        <w:t xml:space="preserve">Avoid misrepresentation of facts, credentials, or company information.</w:t>
      </w:r>
    </w:p>
    <w:p>
      <w:pPr>
        <w:pStyle w:val="ListParagraph"/>
        <w:numPr>
          <w:ilvl w:val="0"/>
          <w:numId w:val="2"/>
        </w:numPr>
        <w:spacing w:after="80" w:before="0"/>
      </w:pPr>
      <w:r>
        <w:rPr>
          <w:rFonts w:ascii="Arial" w:cs="Arial" w:eastAsia="Arial" w:hAnsi="Arial"/>
          <w:color w:val="1A1A2E"/>
          <w:sz w:val="20"/>
          <w:szCs w:val="20"/>
        </w:rPr>
        <w:t xml:space="preserve">Report concerns, errors, or potential violations promptly and honestly.</w:t>
      </w:r>
    </w:p>
    <w:p>
      <w:pPr>
        <w:pStyle w:val="Heading3"/>
        <w:spacing w:after="80" w:before="180"/>
      </w:pPr>
      <w:r>
        <w:rPr>
          <w:rFonts w:ascii="Arial" w:cs="Arial" w:eastAsia="Arial" w:hAnsi="Arial"/>
          <w:b/>
          <w:bCs/>
          <w:color w:val="555555"/>
          <w:sz w:val="22"/>
          <w:szCs w:val="22"/>
        </w:rPr>
        <w:t xml:space="preserve">1.3.2 Respect &amp; Inclusion</w:t>
      </w:r>
    </w:p>
    <w:p>
      <w:pPr>
        <w:pStyle w:val="ListParagraph"/>
        <w:numPr>
          <w:ilvl w:val="0"/>
          <w:numId w:val="2"/>
        </w:numPr>
        <w:spacing w:after="80" w:before="0"/>
      </w:pPr>
      <w:r>
        <w:rPr>
          <w:rFonts w:ascii="Arial" w:cs="Arial" w:eastAsia="Arial" w:hAnsi="Arial"/>
          <w:color w:val="1A1A2E"/>
          <w:sz w:val="20"/>
          <w:szCs w:val="20"/>
        </w:rPr>
        <w:t xml:space="preserve">Treat every colleague, client, vendor, and stakeholder with dignity and respect.</w:t>
      </w:r>
    </w:p>
    <w:p>
      <w:pPr>
        <w:pStyle w:val="ListParagraph"/>
        <w:numPr>
          <w:ilvl w:val="0"/>
          <w:numId w:val="2"/>
        </w:numPr>
        <w:spacing w:after="80" w:before="0"/>
      </w:pPr>
      <w:r>
        <w:rPr>
          <w:rFonts w:ascii="Arial" w:cs="Arial" w:eastAsia="Arial" w:hAnsi="Arial"/>
          <w:color w:val="1A1A2E"/>
          <w:sz w:val="20"/>
          <w:szCs w:val="20"/>
        </w:rPr>
        <w:t xml:space="preserve">Embrace diversity in backgrounds, perspectives, and experiences.</w:t>
      </w:r>
    </w:p>
    <w:p>
      <w:pPr>
        <w:pStyle w:val="ListParagraph"/>
        <w:numPr>
          <w:ilvl w:val="0"/>
          <w:numId w:val="2"/>
        </w:numPr>
        <w:spacing w:after="80" w:before="0"/>
      </w:pPr>
      <w:r>
        <w:rPr>
          <w:rFonts w:ascii="Arial" w:cs="Arial" w:eastAsia="Arial" w:hAnsi="Arial"/>
          <w:color w:val="1A1A2E"/>
          <w:sz w:val="20"/>
          <w:szCs w:val="20"/>
        </w:rPr>
        <w:t xml:space="preserve">Refrain from any conduct that demeans, humiliates, or marginalises others.</w:t>
      </w:r>
    </w:p>
    <w:p>
      <w:pPr>
        <w:pStyle w:val="Heading3"/>
        <w:spacing w:after="80" w:before="180"/>
      </w:pPr>
      <w:r>
        <w:rPr>
          <w:rFonts w:ascii="Arial" w:cs="Arial" w:eastAsia="Arial" w:hAnsi="Arial"/>
          <w:b/>
          <w:bCs/>
          <w:color w:val="555555"/>
          <w:sz w:val="22"/>
          <w:szCs w:val="22"/>
        </w:rPr>
        <w:t xml:space="preserve">1.3.3 Professionalism</w:t>
      </w:r>
    </w:p>
    <w:p>
      <w:pPr>
        <w:pStyle w:val="ListParagraph"/>
        <w:numPr>
          <w:ilvl w:val="0"/>
          <w:numId w:val="2"/>
        </w:numPr>
        <w:spacing w:after="80" w:before="0"/>
      </w:pPr>
      <w:r>
        <w:rPr>
          <w:rFonts w:ascii="Arial" w:cs="Arial" w:eastAsia="Arial" w:hAnsi="Arial"/>
          <w:color w:val="1A1A2E"/>
          <w:sz w:val="20"/>
          <w:szCs w:val="20"/>
        </w:rPr>
        <w:t xml:space="preserve">Maintain a professional standard of dress, communication, and behaviour.</w:t>
      </w:r>
    </w:p>
    <w:p>
      <w:pPr>
        <w:pStyle w:val="ListParagraph"/>
        <w:numPr>
          <w:ilvl w:val="0"/>
          <w:numId w:val="2"/>
        </w:numPr>
        <w:spacing w:after="80" w:before="0"/>
      </w:pPr>
      <w:r>
        <w:rPr>
          <w:rFonts w:ascii="Arial" w:cs="Arial" w:eastAsia="Arial" w:hAnsi="Arial"/>
          <w:color w:val="1A1A2E"/>
          <w:sz w:val="20"/>
          <w:szCs w:val="20"/>
        </w:rPr>
        <w:t xml:space="preserve">Represent MGT positively in all external interactions.</w:t>
      </w:r>
    </w:p>
    <w:p>
      <w:pPr>
        <w:pStyle w:val="ListParagraph"/>
        <w:numPr>
          <w:ilvl w:val="0"/>
          <w:numId w:val="2"/>
        </w:numPr>
        <w:spacing w:after="80" w:before="0"/>
      </w:pPr>
      <w:r>
        <w:rPr>
          <w:rFonts w:ascii="Arial" w:cs="Arial" w:eastAsia="Arial" w:hAnsi="Arial"/>
          <w:color w:val="1A1A2E"/>
          <w:sz w:val="20"/>
          <w:szCs w:val="20"/>
        </w:rPr>
        <w:t xml:space="preserve">Adhere to the highest standards of quality in all work delivered.</w:t>
      </w:r>
    </w:p>
    <w:p>
      <w:pPr>
        <w:pStyle w:val="Heading3"/>
        <w:spacing w:after="80" w:before="180"/>
      </w:pPr>
      <w:r>
        <w:rPr>
          <w:rFonts w:ascii="Arial" w:cs="Arial" w:eastAsia="Arial" w:hAnsi="Arial"/>
          <w:b/>
          <w:bCs/>
          <w:color w:val="555555"/>
          <w:sz w:val="22"/>
          <w:szCs w:val="22"/>
        </w:rPr>
        <w:t xml:space="preserve">1.3.4 Responsibility &amp; Accountability</w:t>
      </w:r>
    </w:p>
    <w:p>
      <w:pPr>
        <w:pStyle w:val="ListParagraph"/>
        <w:numPr>
          <w:ilvl w:val="0"/>
          <w:numId w:val="2"/>
        </w:numPr>
        <w:spacing w:after="80" w:before="0"/>
      </w:pPr>
      <w:r>
        <w:rPr>
          <w:rFonts w:ascii="Arial" w:cs="Arial" w:eastAsia="Arial" w:hAnsi="Arial"/>
          <w:color w:val="1A1A2E"/>
          <w:sz w:val="20"/>
          <w:szCs w:val="20"/>
        </w:rPr>
        <w:t xml:space="preserve">Take ownership of your work, decisions, and their consequences.</w:t>
      </w:r>
    </w:p>
    <w:p>
      <w:pPr>
        <w:pStyle w:val="ListParagraph"/>
        <w:numPr>
          <w:ilvl w:val="0"/>
          <w:numId w:val="2"/>
        </w:numPr>
        <w:spacing w:after="80" w:before="0"/>
      </w:pPr>
      <w:r>
        <w:rPr>
          <w:rFonts w:ascii="Arial" w:cs="Arial" w:eastAsia="Arial" w:hAnsi="Arial"/>
          <w:color w:val="1A1A2E"/>
          <w:sz w:val="20"/>
          <w:szCs w:val="20"/>
        </w:rPr>
        <w:t xml:space="preserve">Meet commitments and communicate proactively when challenges arise.</w:t>
      </w:r>
    </w:p>
    <w:p>
      <w:pPr>
        <w:pStyle w:val="ListParagraph"/>
        <w:numPr>
          <w:ilvl w:val="0"/>
          <w:numId w:val="2"/>
        </w:numPr>
        <w:spacing w:after="80" w:before="0"/>
      </w:pPr>
      <w:r>
        <w:rPr>
          <w:rFonts w:ascii="Arial" w:cs="Arial" w:eastAsia="Arial" w:hAnsi="Arial"/>
          <w:color w:val="1A1A2E"/>
          <w:sz w:val="20"/>
          <w:szCs w:val="20"/>
        </w:rPr>
        <w:t xml:space="preserve">Use company resources responsibly and only for authorised purposes.</w:t>
      </w:r>
    </w:p>
    <w:p>
      <w:pPr>
        <w:pStyle w:val="Heading2"/>
        <w:spacing w:after="120" w:before="240"/>
      </w:pPr>
      <w:r>
        <w:rPr>
          <w:rFonts w:ascii="Arial" w:cs="Arial" w:eastAsia="Arial" w:hAnsi="Arial"/>
          <w:b/>
          <w:bCs/>
          <w:color w:val="1B3A6B"/>
          <w:sz w:val="26"/>
          <w:szCs w:val="26"/>
        </w:rPr>
        <w:t xml:space="preserve">1.4 Prohibited Conduct</w:t>
      </w:r>
    </w:p>
    <w:p>
      <w:pPr>
        <w:spacing w:after="120" w:before="0"/>
      </w:pPr>
      <w:r>
        <w:rPr>
          <w:rFonts w:ascii="Arial" w:cs="Arial" w:eastAsia="Arial" w:hAnsi="Arial"/>
          <w:color w:val="1A1A2E"/>
          <w:sz w:val="20"/>
          <w:szCs w:val="20"/>
        </w:rPr>
        <w:t xml:space="preserve">The following behaviours are strictly prohibited and may result in disciplinary action up to and including termination of employment:</w:t>
      </w:r>
    </w:p>
    <w:p>
      <w:pPr>
        <w:pStyle w:val="ListParagraph"/>
        <w:numPr>
          <w:ilvl w:val="0"/>
          <w:numId w:val="2"/>
        </w:numPr>
        <w:spacing w:after="80" w:before="0"/>
      </w:pPr>
      <w:r>
        <w:rPr>
          <w:rFonts w:ascii="Arial" w:cs="Arial" w:eastAsia="Arial" w:hAnsi="Arial"/>
          <w:color w:val="1A1A2E"/>
          <w:sz w:val="20"/>
          <w:szCs w:val="20"/>
        </w:rPr>
        <w:t xml:space="preserve">Theft, fraud, or misappropriation of company or client assets.</w:t>
      </w:r>
    </w:p>
    <w:p>
      <w:pPr>
        <w:pStyle w:val="ListParagraph"/>
        <w:numPr>
          <w:ilvl w:val="0"/>
          <w:numId w:val="2"/>
        </w:numPr>
        <w:spacing w:after="80" w:before="0"/>
      </w:pPr>
      <w:r>
        <w:rPr>
          <w:rFonts w:ascii="Arial" w:cs="Arial" w:eastAsia="Arial" w:hAnsi="Arial"/>
          <w:color w:val="1A1A2E"/>
          <w:sz w:val="20"/>
          <w:szCs w:val="20"/>
        </w:rPr>
        <w:t xml:space="preserve">Physical, verbal, or psychological intimidation or assault.</w:t>
      </w:r>
    </w:p>
    <w:p>
      <w:pPr>
        <w:pStyle w:val="ListParagraph"/>
        <w:numPr>
          <w:ilvl w:val="0"/>
          <w:numId w:val="2"/>
        </w:numPr>
        <w:spacing w:after="80" w:before="0"/>
      </w:pPr>
      <w:r>
        <w:rPr>
          <w:rFonts w:ascii="Arial" w:cs="Arial" w:eastAsia="Arial" w:hAnsi="Arial"/>
          <w:color w:val="1A1A2E"/>
          <w:sz w:val="20"/>
          <w:szCs w:val="20"/>
        </w:rPr>
        <w:t xml:space="preserve">Falsification of records, reports, timesheets, or expense claims.</w:t>
      </w:r>
    </w:p>
    <w:p>
      <w:pPr>
        <w:pStyle w:val="ListParagraph"/>
        <w:numPr>
          <w:ilvl w:val="0"/>
          <w:numId w:val="2"/>
        </w:numPr>
        <w:spacing w:after="80" w:before="0"/>
      </w:pPr>
      <w:r>
        <w:rPr>
          <w:rFonts w:ascii="Arial" w:cs="Arial" w:eastAsia="Arial" w:hAnsi="Arial"/>
          <w:color w:val="1A1A2E"/>
          <w:sz w:val="20"/>
          <w:szCs w:val="20"/>
        </w:rPr>
        <w:t xml:space="preserve">Breach of confidentiality or misuse of proprietary information.</w:t>
      </w:r>
    </w:p>
    <w:p>
      <w:pPr>
        <w:pStyle w:val="ListParagraph"/>
        <w:numPr>
          <w:ilvl w:val="0"/>
          <w:numId w:val="2"/>
        </w:numPr>
        <w:spacing w:after="80" w:before="0"/>
      </w:pPr>
      <w:r>
        <w:rPr>
          <w:rFonts w:ascii="Arial" w:cs="Arial" w:eastAsia="Arial" w:hAnsi="Arial"/>
          <w:color w:val="1A1A2E"/>
          <w:sz w:val="20"/>
          <w:szCs w:val="20"/>
        </w:rPr>
        <w:t xml:space="preserve">Discrimination, harassment, or bullying of any kind.</w:t>
      </w:r>
    </w:p>
    <w:p>
      <w:pPr>
        <w:pStyle w:val="ListParagraph"/>
        <w:numPr>
          <w:ilvl w:val="0"/>
          <w:numId w:val="2"/>
        </w:numPr>
        <w:spacing w:after="80" w:before="0"/>
      </w:pPr>
      <w:r>
        <w:rPr>
          <w:rFonts w:ascii="Arial" w:cs="Arial" w:eastAsia="Arial" w:hAnsi="Arial"/>
          <w:color w:val="1A1A2E"/>
          <w:sz w:val="20"/>
          <w:szCs w:val="20"/>
        </w:rPr>
        <w:t xml:space="preserve">Engaging in activities that create an undisclosed conflict of interest.</w:t>
      </w:r>
    </w:p>
    <w:p>
      <w:pPr>
        <w:pStyle w:val="ListParagraph"/>
        <w:numPr>
          <w:ilvl w:val="0"/>
          <w:numId w:val="2"/>
        </w:numPr>
        <w:spacing w:after="80" w:before="0"/>
      </w:pPr>
      <w:r>
        <w:rPr>
          <w:rFonts w:ascii="Arial" w:cs="Arial" w:eastAsia="Arial" w:hAnsi="Arial"/>
          <w:color w:val="1A1A2E"/>
          <w:sz w:val="20"/>
          <w:szCs w:val="20"/>
        </w:rPr>
        <w:t xml:space="preserve">Bribery, corruption, or facilitation of any unlawful act.</w:t>
      </w:r>
    </w:p>
    <w:p>
      <w:pPr>
        <w:pStyle w:val="Heading2"/>
        <w:spacing w:after="120" w:before="240"/>
      </w:pPr>
      <w:r>
        <w:rPr>
          <w:rFonts w:ascii="Arial" w:cs="Arial" w:eastAsia="Arial" w:hAnsi="Arial"/>
          <w:b/>
          <w:bCs/>
          <w:color w:val="1B3A6B"/>
          <w:sz w:val="26"/>
          <w:szCs w:val="26"/>
        </w:rPr>
        <w:t xml:space="preserve">1.5 Consequences of Violations</w:t>
      </w:r>
    </w:p>
    <w:p>
      <w:pPr>
        <w:spacing w:after="120" w:before="0"/>
      </w:pPr>
      <w:r>
        <w:rPr>
          <w:rFonts w:ascii="Arial" w:cs="Arial" w:eastAsia="Arial" w:hAnsi="Arial"/>
          <w:color w:val="1A1A2E"/>
          <w:sz w:val="20"/>
          <w:szCs w:val="20"/>
        </w:rPr>
        <w:t xml:space="preserve">Violations of this Code of Conduct will be investigated fairly and thoroughly. Disciplinary outcomes are proportionate to the severity of the breach and may include written warnings, demotion, suspension, or dismissal. Serious breaches may be referred to the relevant regulatory or law enforcement authorities.</w:t>
      </w:r>
    </w:p>
    <w:p>
      <w:pPr>
        <w:pStyle w:val="Heading2"/>
        <w:spacing w:after="120" w:before="240"/>
      </w:pPr>
      <w:r>
        <w:rPr>
          <w:rFonts w:ascii="Arial" w:cs="Arial" w:eastAsia="Arial" w:hAnsi="Arial"/>
          <w:b/>
          <w:bCs/>
          <w:color w:val="1B3A6B"/>
          <w:sz w:val="26"/>
          <w:szCs w:val="26"/>
        </w:rPr>
        <w:t xml:space="preserve">1.6 Reporting Violations</w:t>
      </w:r>
    </w:p>
    <w:p>
      <w:pPr>
        <w:spacing w:after="120" w:before="0"/>
      </w:pPr>
      <w:r>
        <w:rPr>
          <w:rFonts w:ascii="Arial" w:cs="Arial" w:eastAsia="Arial" w:hAnsi="Arial"/>
          <w:color w:val="1A1A2E"/>
          <w:sz w:val="20"/>
          <w:szCs w:val="20"/>
        </w:rPr>
        <w:t xml:space="preserve">Employees are encouraged to report suspected violations through any of the following channels without fear of retaliation:</w:t>
      </w:r>
    </w:p>
    <w:p>
      <w:pPr>
        <w:pStyle w:val="ListParagraph"/>
        <w:numPr>
          <w:ilvl w:val="0"/>
          <w:numId w:val="2"/>
        </w:numPr>
        <w:spacing w:after="80" w:before="0"/>
      </w:pPr>
      <w:r>
        <w:rPr>
          <w:rFonts w:ascii="Arial" w:cs="Arial" w:eastAsia="Arial" w:hAnsi="Arial"/>
          <w:color w:val="1A1A2E"/>
          <w:sz w:val="20"/>
          <w:szCs w:val="20"/>
        </w:rPr>
        <w:t xml:space="preserve">Direct manager or supervisor (unless they are the subject of the concern)</w:t>
      </w:r>
    </w:p>
    <w:p>
      <w:pPr>
        <w:pStyle w:val="ListParagraph"/>
        <w:numPr>
          <w:ilvl w:val="0"/>
          <w:numId w:val="2"/>
        </w:numPr>
        <w:spacing w:after="80" w:before="0"/>
      </w:pPr>
      <w:r>
        <w:rPr>
          <w:rFonts w:ascii="Arial" w:cs="Arial" w:eastAsia="Arial" w:hAnsi="Arial"/>
          <w:color w:val="1A1A2E"/>
          <w:sz w:val="20"/>
          <w:szCs w:val="20"/>
        </w:rPr>
        <w:t xml:space="preserve">Human Resources department</w:t>
      </w:r>
    </w:p>
    <w:p>
      <w:pPr>
        <w:pStyle w:val="ListParagraph"/>
        <w:numPr>
          <w:ilvl w:val="0"/>
          <w:numId w:val="2"/>
        </w:numPr>
        <w:spacing w:after="80" w:before="0"/>
      </w:pPr>
      <w:r>
        <w:rPr>
          <w:rFonts w:ascii="Arial" w:cs="Arial" w:eastAsia="Arial" w:hAnsi="Arial"/>
          <w:color w:val="1A1A2E"/>
          <w:sz w:val="20"/>
          <w:szCs w:val="20"/>
        </w:rPr>
        <w:t xml:space="preserve">Confidential whistleblower hotline (see Policy 10)</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02</w:t>
            </w:r>
          </w:p>
          <w:p>
            <w:pPr>
              <w:spacing w:after="0" w:before="0"/>
            </w:pPr>
            <w:r>
              <w:rPr>
                <w:rFonts w:ascii="Arial" w:cs="Arial" w:eastAsia="Arial" w:hAnsi="Arial"/>
                <w:b/>
                <w:bCs/>
                <w:color w:val="FFFFFF"/>
                <w:sz w:val="32"/>
                <w:szCs w:val="32"/>
              </w:rPr>
              <w:t xml:space="preserve">Equal Employment Opportunity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and job applicants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2.1 Purpose</w:t>
      </w:r>
    </w:p>
    <w:p>
      <w:pPr>
        <w:spacing w:after="120" w:before="0"/>
      </w:pPr>
      <w:r>
        <w:rPr>
          <w:rFonts w:ascii="Arial" w:cs="Arial" w:eastAsia="Arial" w:hAnsi="Arial"/>
          <w:color w:val="1A1A2E"/>
          <w:sz w:val="20"/>
          <w:szCs w:val="20"/>
        </w:rPr>
        <w:t xml:space="preserve">MGT is committed to providing equal employment opportunities (EEO) for all individuals. This policy affirms that all employment decisions will be based on merit, qualifications, and organisational need, and that no person will face discrimination on any prohibited ground.</w:t>
      </w:r>
    </w:p>
    <w:p>
      <w:pPr>
        <w:pStyle w:val="Heading2"/>
        <w:spacing w:after="120" w:before="240"/>
      </w:pPr>
      <w:r>
        <w:rPr>
          <w:rFonts w:ascii="Arial" w:cs="Arial" w:eastAsia="Arial" w:hAnsi="Arial"/>
          <w:b/>
          <w:bCs/>
          <w:color w:val="1B3A6B"/>
          <w:sz w:val="26"/>
          <w:szCs w:val="26"/>
        </w:rPr>
        <w:t xml:space="preserve">2.2 Our Commitment</w:t>
      </w:r>
    </w:p>
    <w:p>
      <w:pPr>
        <w:spacing w:after="120" w:before="0"/>
      </w:pPr>
      <w:r>
        <w:rPr>
          <w:rFonts w:ascii="Arial" w:cs="Arial" w:eastAsia="Arial" w:hAnsi="Arial"/>
          <w:color w:val="1A1A2E"/>
          <w:sz w:val="20"/>
          <w:szCs w:val="20"/>
        </w:rPr>
        <w:t xml:space="preserve">MGT prohibits discrimination in all aspects of employment, including but not limited to:</w:t>
      </w:r>
    </w:p>
    <w:p>
      <w:pPr>
        <w:pStyle w:val="ListParagraph"/>
        <w:numPr>
          <w:ilvl w:val="0"/>
          <w:numId w:val="2"/>
        </w:numPr>
        <w:spacing w:after="80" w:before="0"/>
      </w:pPr>
      <w:r>
        <w:rPr>
          <w:rFonts w:ascii="Arial" w:cs="Arial" w:eastAsia="Arial" w:hAnsi="Arial"/>
          <w:color w:val="1A1A2E"/>
          <w:sz w:val="20"/>
          <w:szCs w:val="20"/>
        </w:rPr>
        <w:t xml:space="preserve">Recruitment, selection, and appointment</w:t>
      </w:r>
    </w:p>
    <w:p>
      <w:pPr>
        <w:pStyle w:val="ListParagraph"/>
        <w:numPr>
          <w:ilvl w:val="0"/>
          <w:numId w:val="2"/>
        </w:numPr>
        <w:spacing w:after="80" w:before="0"/>
      </w:pPr>
      <w:r>
        <w:rPr>
          <w:rFonts w:ascii="Arial" w:cs="Arial" w:eastAsia="Arial" w:hAnsi="Arial"/>
          <w:color w:val="1A1A2E"/>
          <w:sz w:val="20"/>
          <w:szCs w:val="20"/>
        </w:rPr>
        <w:t xml:space="preserve">Compensation, benefits, and incentives</w:t>
      </w:r>
    </w:p>
    <w:p>
      <w:pPr>
        <w:pStyle w:val="ListParagraph"/>
        <w:numPr>
          <w:ilvl w:val="0"/>
          <w:numId w:val="2"/>
        </w:numPr>
        <w:spacing w:after="80" w:before="0"/>
      </w:pPr>
      <w:r>
        <w:rPr>
          <w:rFonts w:ascii="Arial" w:cs="Arial" w:eastAsia="Arial" w:hAnsi="Arial"/>
          <w:color w:val="1A1A2E"/>
          <w:sz w:val="20"/>
          <w:szCs w:val="20"/>
        </w:rPr>
        <w:t xml:space="preserve">Training, development, and promotion</w:t>
      </w:r>
    </w:p>
    <w:p>
      <w:pPr>
        <w:pStyle w:val="ListParagraph"/>
        <w:numPr>
          <w:ilvl w:val="0"/>
          <w:numId w:val="2"/>
        </w:numPr>
        <w:spacing w:after="80" w:before="0"/>
      </w:pPr>
      <w:r>
        <w:rPr>
          <w:rFonts w:ascii="Arial" w:cs="Arial" w:eastAsia="Arial" w:hAnsi="Arial"/>
          <w:color w:val="1A1A2E"/>
          <w:sz w:val="20"/>
          <w:szCs w:val="20"/>
        </w:rPr>
        <w:t xml:space="preserve">Disciplinary processes and termination</w:t>
      </w:r>
    </w:p>
    <w:p>
      <w:pPr>
        <w:pStyle w:val="ListParagraph"/>
        <w:numPr>
          <w:ilvl w:val="0"/>
          <w:numId w:val="2"/>
        </w:numPr>
        <w:spacing w:after="80" w:before="0"/>
      </w:pPr>
      <w:r>
        <w:rPr>
          <w:rFonts w:ascii="Arial" w:cs="Arial" w:eastAsia="Arial" w:hAnsi="Arial"/>
          <w:color w:val="1A1A2E"/>
          <w:sz w:val="20"/>
          <w:szCs w:val="20"/>
        </w:rPr>
        <w:t xml:space="preserve">Working conditions and task assignment</w:t>
      </w:r>
    </w:p>
    <w:p>
      <w:pPr>
        <w:pStyle w:val="Heading2"/>
        <w:spacing w:after="120" w:before="240"/>
      </w:pPr>
      <w:r>
        <w:rPr>
          <w:rFonts w:ascii="Arial" w:cs="Arial" w:eastAsia="Arial" w:hAnsi="Arial"/>
          <w:b/>
          <w:bCs/>
          <w:color w:val="1B3A6B"/>
          <w:sz w:val="26"/>
          <w:szCs w:val="26"/>
        </w:rPr>
        <w:t xml:space="preserve">2.3 Protected Characteristics</w:t>
      </w:r>
    </w:p>
    <w:p>
      <w:pPr>
        <w:spacing w:after="120" w:before="0"/>
      </w:pPr>
      <w:r>
        <w:rPr>
          <w:rFonts w:ascii="Arial" w:cs="Arial" w:eastAsia="Arial" w:hAnsi="Arial"/>
          <w:color w:val="1A1A2E"/>
          <w:sz w:val="20"/>
          <w:szCs w:val="20"/>
        </w:rPr>
        <w:t xml:space="preserve">No employment decision shall be influenced by an individual's:</w:t>
      </w:r>
    </w:p>
    <w:p>
      <w:pPr>
        <w:pStyle w:val="ListParagraph"/>
        <w:numPr>
          <w:ilvl w:val="0"/>
          <w:numId w:val="2"/>
        </w:numPr>
        <w:spacing w:after="80" w:before="0"/>
      </w:pPr>
      <w:r>
        <w:rPr>
          <w:rFonts w:ascii="Arial" w:cs="Arial" w:eastAsia="Arial" w:hAnsi="Arial"/>
          <w:color w:val="1A1A2E"/>
          <w:sz w:val="20"/>
          <w:szCs w:val="20"/>
        </w:rPr>
        <w:t xml:space="preserve">Race, colour, nationality, or ethnic origin</w:t>
      </w:r>
    </w:p>
    <w:p>
      <w:pPr>
        <w:pStyle w:val="ListParagraph"/>
        <w:numPr>
          <w:ilvl w:val="0"/>
          <w:numId w:val="2"/>
        </w:numPr>
        <w:spacing w:after="80" w:before="0"/>
      </w:pPr>
      <w:r>
        <w:rPr>
          <w:rFonts w:ascii="Arial" w:cs="Arial" w:eastAsia="Arial" w:hAnsi="Arial"/>
          <w:color w:val="1A1A2E"/>
          <w:sz w:val="20"/>
          <w:szCs w:val="20"/>
        </w:rPr>
        <w:t xml:space="preserve">Sex, gender identity, or gender expression</w:t>
      </w:r>
    </w:p>
    <w:p>
      <w:pPr>
        <w:pStyle w:val="ListParagraph"/>
        <w:numPr>
          <w:ilvl w:val="0"/>
          <w:numId w:val="2"/>
        </w:numPr>
        <w:spacing w:after="80" w:before="0"/>
      </w:pPr>
      <w:r>
        <w:rPr>
          <w:rFonts w:ascii="Arial" w:cs="Arial" w:eastAsia="Arial" w:hAnsi="Arial"/>
          <w:color w:val="1A1A2E"/>
          <w:sz w:val="20"/>
          <w:szCs w:val="20"/>
        </w:rPr>
        <w:t xml:space="preserve">Sexual orientation</w:t>
      </w:r>
    </w:p>
    <w:p>
      <w:pPr>
        <w:pStyle w:val="ListParagraph"/>
        <w:numPr>
          <w:ilvl w:val="0"/>
          <w:numId w:val="2"/>
        </w:numPr>
        <w:spacing w:after="80" w:before="0"/>
      </w:pPr>
      <w:r>
        <w:rPr>
          <w:rFonts w:ascii="Arial" w:cs="Arial" w:eastAsia="Arial" w:hAnsi="Arial"/>
          <w:color w:val="1A1A2E"/>
          <w:sz w:val="20"/>
          <w:szCs w:val="20"/>
        </w:rPr>
        <w:t xml:space="preserve">Age</w:t>
      </w:r>
    </w:p>
    <w:p>
      <w:pPr>
        <w:pStyle w:val="ListParagraph"/>
        <w:numPr>
          <w:ilvl w:val="0"/>
          <w:numId w:val="2"/>
        </w:numPr>
        <w:spacing w:after="80" w:before="0"/>
      </w:pPr>
      <w:r>
        <w:rPr>
          <w:rFonts w:ascii="Arial" w:cs="Arial" w:eastAsia="Arial" w:hAnsi="Arial"/>
          <w:color w:val="1A1A2E"/>
          <w:sz w:val="20"/>
          <w:szCs w:val="20"/>
        </w:rPr>
        <w:t xml:space="preserve">Religion, belief, or lack thereof</w:t>
      </w:r>
    </w:p>
    <w:p>
      <w:pPr>
        <w:pStyle w:val="ListParagraph"/>
        <w:numPr>
          <w:ilvl w:val="0"/>
          <w:numId w:val="2"/>
        </w:numPr>
        <w:spacing w:after="80" w:before="0"/>
      </w:pPr>
      <w:r>
        <w:rPr>
          <w:rFonts w:ascii="Arial" w:cs="Arial" w:eastAsia="Arial" w:hAnsi="Arial"/>
          <w:color w:val="1A1A2E"/>
          <w:sz w:val="20"/>
          <w:szCs w:val="20"/>
        </w:rPr>
        <w:t xml:space="preserve">Disability (physical or mental)</w:t>
      </w:r>
    </w:p>
    <w:p>
      <w:pPr>
        <w:pStyle w:val="ListParagraph"/>
        <w:numPr>
          <w:ilvl w:val="0"/>
          <w:numId w:val="2"/>
        </w:numPr>
        <w:spacing w:after="80" w:before="0"/>
      </w:pPr>
      <w:r>
        <w:rPr>
          <w:rFonts w:ascii="Arial" w:cs="Arial" w:eastAsia="Arial" w:hAnsi="Arial"/>
          <w:color w:val="1A1A2E"/>
          <w:sz w:val="20"/>
          <w:szCs w:val="20"/>
        </w:rPr>
        <w:t xml:space="preserve">Pregnancy, parental, or family status</w:t>
      </w:r>
    </w:p>
    <w:p>
      <w:pPr>
        <w:pStyle w:val="ListParagraph"/>
        <w:numPr>
          <w:ilvl w:val="0"/>
          <w:numId w:val="2"/>
        </w:numPr>
        <w:spacing w:after="80" w:before="0"/>
      </w:pPr>
      <w:r>
        <w:rPr>
          <w:rFonts w:ascii="Arial" w:cs="Arial" w:eastAsia="Arial" w:hAnsi="Arial"/>
          <w:color w:val="1A1A2E"/>
          <w:sz w:val="20"/>
          <w:szCs w:val="20"/>
        </w:rPr>
        <w:t xml:space="preserve">Marital status</w:t>
      </w:r>
    </w:p>
    <w:p>
      <w:pPr>
        <w:pStyle w:val="ListParagraph"/>
        <w:numPr>
          <w:ilvl w:val="0"/>
          <w:numId w:val="2"/>
        </w:numPr>
        <w:spacing w:after="80" w:before="0"/>
      </w:pPr>
      <w:r>
        <w:rPr>
          <w:rFonts w:ascii="Arial" w:cs="Arial" w:eastAsia="Arial" w:hAnsi="Arial"/>
          <w:color w:val="1A1A2E"/>
          <w:sz w:val="20"/>
          <w:szCs w:val="20"/>
        </w:rPr>
        <w:t xml:space="preserve">Political opinion or affiliation</w:t>
      </w:r>
    </w:p>
    <w:p>
      <w:pPr>
        <w:pStyle w:val="ListParagraph"/>
        <w:numPr>
          <w:ilvl w:val="0"/>
          <w:numId w:val="2"/>
        </w:numPr>
        <w:spacing w:after="80" w:before="0"/>
      </w:pPr>
      <w:r>
        <w:rPr>
          <w:rFonts w:ascii="Arial" w:cs="Arial" w:eastAsia="Arial" w:hAnsi="Arial"/>
          <w:color w:val="1A1A2E"/>
          <w:sz w:val="20"/>
          <w:szCs w:val="20"/>
        </w:rPr>
        <w:t xml:space="preserve">Social origin or economic status</w:t>
      </w:r>
    </w:p>
    <w:p>
      <w:pPr>
        <w:pStyle w:val="Heading2"/>
        <w:spacing w:after="120" w:before="240"/>
      </w:pPr>
      <w:r>
        <w:rPr>
          <w:rFonts w:ascii="Arial" w:cs="Arial" w:eastAsia="Arial" w:hAnsi="Arial"/>
          <w:b/>
          <w:bCs/>
          <w:color w:val="1B3A6B"/>
          <w:sz w:val="26"/>
          <w:szCs w:val="26"/>
        </w:rPr>
        <w:t xml:space="preserve">2.4 Reasonable Accommodation</w:t>
      </w:r>
    </w:p>
    <w:p>
      <w:pPr>
        <w:spacing w:after="120" w:before="0"/>
      </w:pPr>
      <w:r>
        <w:rPr>
          <w:rFonts w:ascii="Arial" w:cs="Arial" w:eastAsia="Arial" w:hAnsi="Arial"/>
          <w:color w:val="1A1A2E"/>
          <w:sz w:val="20"/>
          <w:szCs w:val="20"/>
        </w:rPr>
        <w:t xml:space="preserve">MGT will make reasonable adjustments to accommodate employees and applicants with disabilities, religious practices, or other protected characteristics, provided such adjustments do not impose undue hardship on the organisation. Employees seeking accommodations should contact Human Resources.</w:t>
      </w:r>
    </w:p>
    <w:p>
      <w:pPr>
        <w:pStyle w:val="Heading2"/>
        <w:spacing w:after="120" w:before="240"/>
      </w:pPr>
      <w:r>
        <w:rPr>
          <w:rFonts w:ascii="Arial" w:cs="Arial" w:eastAsia="Arial" w:hAnsi="Arial"/>
          <w:b/>
          <w:bCs/>
          <w:color w:val="1B3A6B"/>
          <w:sz w:val="26"/>
          <w:szCs w:val="26"/>
        </w:rPr>
        <w:t xml:space="preserve">2.5 Affirmative Action</w:t>
      </w:r>
    </w:p>
    <w:p>
      <w:pPr>
        <w:spacing w:after="120" w:before="0"/>
      </w:pPr>
      <w:r>
        <w:rPr>
          <w:rFonts w:ascii="Arial" w:cs="Arial" w:eastAsia="Arial" w:hAnsi="Arial"/>
          <w:color w:val="1A1A2E"/>
          <w:sz w:val="20"/>
          <w:szCs w:val="20"/>
        </w:rPr>
        <w:t xml:space="preserve">Where required by applicable law, MGT will implement affirmative action plans to promote equal representation and opportunity for historically underrepresented groups. Progress will be monitored and reported annually.</w:t>
      </w:r>
    </w:p>
    <w:p>
      <w:pPr>
        <w:pStyle w:val="Heading2"/>
        <w:spacing w:after="120" w:before="240"/>
      </w:pPr>
      <w:r>
        <w:rPr>
          <w:rFonts w:ascii="Arial" w:cs="Arial" w:eastAsia="Arial" w:hAnsi="Arial"/>
          <w:b/>
          <w:bCs/>
          <w:color w:val="1B3A6B"/>
          <w:sz w:val="26"/>
          <w:szCs w:val="26"/>
        </w:rPr>
        <w:t xml:space="preserve">2.6 Responsibility</w:t>
      </w:r>
    </w:p>
    <w:p>
      <w:pPr>
        <w:spacing w:after="120" w:before="0"/>
      </w:pPr>
      <w:r>
        <w:rPr>
          <w:rFonts w:ascii="Arial" w:cs="Arial" w:eastAsia="Arial" w:hAnsi="Arial"/>
          <w:color w:val="1A1A2E"/>
          <w:sz w:val="20"/>
          <w:szCs w:val="20"/>
        </w:rPr>
        <w:t xml:space="preserve">Every manager and supervisor is personally responsible for ensuring that employment decisions within their teams are made in accordance with this policy. Human Resources is responsible for monitoring compliance and providing training.</w:t>
      </w:r>
    </w:p>
    <w:p>
      <w:pPr>
        <w:pStyle w:val="Heading2"/>
        <w:spacing w:after="120" w:before="240"/>
      </w:pPr>
      <w:r>
        <w:rPr>
          <w:rFonts w:ascii="Arial" w:cs="Arial" w:eastAsia="Arial" w:hAnsi="Arial"/>
          <w:b/>
          <w:bCs/>
          <w:color w:val="1B3A6B"/>
          <w:sz w:val="26"/>
          <w:szCs w:val="26"/>
        </w:rPr>
        <w:t xml:space="preserve">2.7 Complaints</w:t>
      </w:r>
    </w:p>
    <w:p>
      <w:pPr>
        <w:spacing w:after="120" w:before="0"/>
      </w:pPr>
      <w:r>
        <w:rPr>
          <w:rFonts w:ascii="Arial" w:cs="Arial" w:eastAsia="Arial" w:hAnsi="Arial"/>
          <w:color w:val="1A1A2E"/>
          <w:sz w:val="20"/>
          <w:szCs w:val="20"/>
        </w:rPr>
        <w:t xml:space="preserve">Any employee who believes they have been subjected to discrimination or unequal treatment should report the matter to HR or use the grievance procedure outlined in Policy 18. All complaints will be treated seriously, investigated promptly, and handled with confidentiality.</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03</w:t>
            </w:r>
          </w:p>
          <w:p>
            <w:pPr>
              <w:spacing w:after="0" w:before="0"/>
            </w:pPr>
            <w:r>
              <w:rPr>
                <w:rFonts w:ascii="Arial" w:cs="Arial" w:eastAsia="Arial" w:hAnsi="Arial"/>
                <w:b/>
                <w:bCs/>
                <w:color w:val="FFFFFF"/>
                <w:sz w:val="32"/>
                <w:szCs w:val="32"/>
              </w:rPr>
              <w:t xml:space="preserve">Workplace Health and Safety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MGT-OHS-001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Operations &amp; 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contractors, and visitors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3.1 Purpose</w:t>
      </w:r>
    </w:p>
    <w:p>
      <w:pPr>
        <w:spacing w:after="120" w:before="0"/>
      </w:pPr>
      <w:r>
        <w:rPr>
          <w:rFonts w:ascii="Arial" w:cs="Arial" w:eastAsia="Arial" w:hAnsi="Arial"/>
          <w:color w:val="1A1A2E"/>
          <w:sz w:val="20"/>
          <w:szCs w:val="20"/>
        </w:rPr>
        <w:t xml:space="preserve">MGT is committed to providing and maintaining a safe, healthy, and hazard-free work environment for all employees, contractors, clients, and visitors. This policy outlines our approach to managing occupational health and safety (OHS) risks in compliance with all applicable legislation.</w:t>
      </w:r>
    </w:p>
    <w:p>
      <w:pPr>
        <w:pStyle w:val="Heading2"/>
        <w:spacing w:after="120" w:before="240"/>
      </w:pPr>
      <w:r>
        <w:rPr>
          <w:rFonts w:ascii="Arial" w:cs="Arial" w:eastAsia="Arial" w:hAnsi="Arial"/>
          <w:b/>
          <w:bCs/>
          <w:color w:val="1B3A6B"/>
          <w:sz w:val="26"/>
          <w:szCs w:val="26"/>
        </w:rPr>
        <w:t xml:space="preserve">3.2 Management Responsibilities</w:t>
      </w:r>
    </w:p>
    <w:p>
      <w:pPr>
        <w:pStyle w:val="ListParagraph"/>
        <w:numPr>
          <w:ilvl w:val="0"/>
          <w:numId w:val="2"/>
        </w:numPr>
        <w:spacing w:after="80" w:before="0"/>
      </w:pPr>
      <w:r>
        <w:rPr>
          <w:rFonts w:ascii="Arial" w:cs="Arial" w:eastAsia="Arial" w:hAnsi="Arial"/>
          <w:color w:val="1A1A2E"/>
          <w:sz w:val="20"/>
          <w:szCs w:val="20"/>
        </w:rPr>
        <w:t xml:space="preserve">Identify, assess, and control all workplace hazards.</w:t>
      </w:r>
    </w:p>
    <w:p>
      <w:pPr>
        <w:pStyle w:val="ListParagraph"/>
        <w:numPr>
          <w:ilvl w:val="0"/>
          <w:numId w:val="2"/>
        </w:numPr>
        <w:spacing w:after="80" w:before="0"/>
      </w:pPr>
      <w:r>
        <w:rPr>
          <w:rFonts w:ascii="Arial" w:cs="Arial" w:eastAsia="Arial" w:hAnsi="Arial"/>
          <w:color w:val="1A1A2E"/>
          <w:sz w:val="20"/>
          <w:szCs w:val="20"/>
        </w:rPr>
        <w:t xml:space="preserve">Provide appropriate safety equipment, training, and supervision.</w:t>
      </w:r>
    </w:p>
    <w:p>
      <w:pPr>
        <w:pStyle w:val="ListParagraph"/>
        <w:numPr>
          <w:ilvl w:val="0"/>
          <w:numId w:val="2"/>
        </w:numPr>
        <w:spacing w:after="80" w:before="0"/>
      </w:pPr>
      <w:r>
        <w:rPr>
          <w:rFonts w:ascii="Arial" w:cs="Arial" w:eastAsia="Arial" w:hAnsi="Arial"/>
          <w:color w:val="1A1A2E"/>
          <w:sz w:val="20"/>
          <w:szCs w:val="20"/>
        </w:rPr>
        <w:t xml:space="preserve">Investigate all accidents, incidents, and near-misses.</w:t>
      </w:r>
    </w:p>
    <w:p>
      <w:pPr>
        <w:pStyle w:val="ListParagraph"/>
        <w:numPr>
          <w:ilvl w:val="0"/>
          <w:numId w:val="2"/>
        </w:numPr>
        <w:spacing w:after="80" w:before="0"/>
      </w:pPr>
      <w:r>
        <w:rPr>
          <w:rFonts w:ascii="Arial" w:cs="Arial" w:eastAsia="Arial" w:hAnsi="Arial"/>
          <w:color w:val="1A1A2E"/>
          <w:sz w:val="20"/>
          <w:szCs w:val="20"/>
        </w:rPr>
        <w:t xml:space="preserve">Maintain records of all safety incidents and corrective actions.</w:t>
      </w:r>
    </w:p>
    <w:p>
      <w:pPr>
        <w:pStyle w:val="ListParagraph"/>
        <w:numPr>
          <w:ilvl w:val="0"/>
          <w:numId w:val="2"/>
        </w:numPr>
        <w:spacing w:after="80" w:before="0"/>
      </w:pPr>
      <w:r>
        <w:rPr>
          <w:rFonts w:ascii="Arial" w:cs="Arial" w:eastAsia="Arial" w:hAnsi="Arial"/>
          <w:color w:val="1A1A2E"/>
          <w:sz w:val="20"/>
          <w:szCs w:val="20"/>
        </w:rPr>
        <w:t xml:space="preserve">Consult with employees on health and safety matters.</w:t>
      </w:r>
    </w:p>
    <w:p>
      <w:pPr>
        <w:pStyle w:val="Heading2"/>
        <w:spacing w:after="120" w:before="240"/>
      </w:pPr>
      <w:r>
        <w:rPr>
          <w:rFonts w:ascii="Arial" w:cs="Arial" w:eastAsia="Arial" w:hAnsi="Arial"/>
          <w:b/>
          <w:bCs/>
          <w:color w:val="1B3A6B"/>
          <w:sz w:val="26"/>
          <w:szCs w:val="26"/>
        </w:rPr>
        <w:t xml:space="preserve">3.3 Employee Responsibilities</w:t>
      </w:r>
    </w:p>
    <w:p>
      <w:pPr>
        <w:pStyle w:val="ListParagraph"/>
        <w:numPr>
          <w:ilvl w:val="0"/>
          <w:numId w:val="2"/>
        </w:numPr>
        <w:spacing w:after="80" w:before="0"/>
      </w:pPr>
      <w:r>
        <w:rPr>
          <w:rFonts w:ascii="Arial" w:cs="Arial" w:eastAsia="Arial" w:hAnsi="Arial"/>
          <w:color w:val="1A1A2E"/>
          <w:sz w:val="20"/>
          <w:szCs w:val="20"/>
        </w:rPr>
        <w:t xml:space="preserve">Follow all safety rules, procedures, and instructions.</w:t>
      </w:r>
    </w:p>
    <w:p>
      <w:pPr>
        <w:pStyle w:val="ListParagraph"/>
        <w:numPr>
          <w:ilvl w:val="0"/>
          <w:numId w:val="2"/>
        </w:numPr>
        <w:spacing w:after="80" w:before="0"/>
      </w:pPr>
      <w:r>
        <w:rPr>
          <w:rFonts w:ascii="Arial" w:cs="Arial" w:eastAsia="Arial" w:hAnsi="Arial"/>
          <w:color w:val="1A1A2E"/>
          <w:sz w:val="20"/>
          <w:szCs w:val="20"/>
        </w:rPr>
        <w:t xml:space="preserve">Use provided personal protective equipment (PPE) as required.</w:t>
      </w:r>
    </w:p>
    <w:p>
      <w:pPr>
        <w:pStyle w:val="ListParagraph"/>
        <w:numPr>
          <w:ilvl w:val="0"/>
          <w:numId w:val="2"/>
        </w:numPr>
        <w:spacing w:after="80" w:before="0"/>
      </w:pPr>
      <w:r>
        <w:rPr>
          <w:rFonts w:ascii="Arial" w:cs="Arial" w:eastAsia="Arial" w:hAnsi="Arial"/>
          <w:color w:val="1A1A2E"/>
          <w:sz w:val="20"/>
          <w:szCs w:val="20"/>
        </w:rPr>
        <w:t xml:space="preserve">Report hazards, unsafe conditions, and incidents immediately.</w:t>
      </w:r>
    </w:p>
    <w:p>
      <w:pPr>
        <w:pStyle w:val="ListParagraph"/>
        <w:numPr>
          <w:ilvl w:val="0"/>
          <w:numId w:val="2"/>
        </w:numPr>
        <w:spacing w:after="80" w:before="0"/>
      </w:pPr>
      <w:r>
        <w:rPr>
          <w:rFonts w:ascii="Arial" w:cs="Arial" w:eastAsia="Arial" w:hAnsi="Arial"/>
          <w:color w:val="1A1A2E"/>
          <w:sz w:val="20"/>
          <w:szCs w:val="20"/>
        </w:rPr>
        <w:t xml:space="preserve">Participate in safety training programmes.</w:t>
      </w:r>
    </w:p>
    <w:p>
      <w:pPr>
        <w:pStyle w:val="ListParagraph"/>
        <w:numPr>
          <w:ilvl w:val="0"/>
          <w:numId w:val="2"/>
        </w:numPr>
        <w:spacing w:after="80" w:before="0"/>
      </w:pPr>
      <w:r>
        <w:rPr>
          <w:rFonts w:ascii="Arial" w:cs="Arial" w:eastAsia="Arial" w:hAnsi="Arial"/>
          <w:color w:val="1A1A2E"/>
          <w:sz w:val="20"/>
          <w:szCs w:val="20"/>
        </w:rPr>
        <w:t xml:space="preserve">Refrain from actions that may endanger themselves or others.</w:t>
      </w:r>
    </w:p>
    <w:p>
      <w:pPr>
        <w:pStyle w:val="Heading2"/>
        <w:spacing w:after="120" w:before="240"/>
      </w:pPr>
      <w:r>
        <w:rPr>
          <w:rFonts w:ascii="Arial" w:cs="Arial" w:eastAsia="Arial" w:hAnsi="Arial"/>
          <w:b/>
          <w:bCs/>
          <w:color w:val="1B3A6B"/>
          <w:sz w:val="26"/>
          <w:szCs w:val="26"/>
        </w:rPr>
        <w:t xml:space="preserve">3.4 Hazard Identification &amp; Risk Assessment</w:t>
      </w:r>
    </w:p>
    <w:p>
      <w:pPr>
        <w:spacing w:after="120" w:before="0"/>
      </w:pPr>
      <w:r>
        <w:rPr>
          <w:rFonts w:ascii="Arial" w:cs="Arial" w:eastAsia="Arial" w:hAnsi="Arial"/>
          <w:color w:val="1A1A2E"/>
          <w:sz w:val="20"/>
          <w:szCs w:val="20"/>
        </w:rPr>
        <w:t xml:space="preserve">MGT will conduct formal risk assessments for all work areas and activities, reviewed at least annually or following any significant change. Risk registers will be maintained and accessible to all relevant staff.</w:t>
      </w:r>
    </w:p>
    <w:p>
      <w:pPr>
        <w:pStyle w:val="Heading2"/>
        <w:spacing w:after="120" w:before="240"/>
      </w:pPr>
      <w:r>
        <w:rPr>
          <w:rFonts w:ascii="Arial" w:cs="Arial" w:eastAsia="Arial" w:hAnsi="Arial"/>
          <w:b/>
          <w:bCs/>
          <w:color w:val="1B3A6B"/>
          <w:sz w:val="26"/>
          <w:szCs w:val="26"/>
        </w:rPr>
        <w:t xml:space="preserve">3.5 Incident Reporting &amp; Investigation</w:t>
      </w:r>
    </w:p>
    <w:p>
      <w:pPr>
        <w:spacing w:after="120" w:before="0"/>
      </w:pPr>
      <w:r>
        <w:rPr>
          <w:rFonts w:ascii="Arial" w:cs="Arial" w:eastAsia="Arial" w:hAnsi="Arial"/>
          <w:color w:val="1A1A2E"/>
          <w:sz w:val="20"/>
          <w:szCs w:val="20"/>
        </w:rPr>
        <w:t xml:space="preserve">All incidents, accidents, injuries, and near-misses must be reported to a supervisor immediately. An Incident Report Form (IRF) must be completed within 24 hours. HR and Operations will conduct a root cause analysis and implement corrective actions within 10 working days.</w:t>
      </w:r>
    </w:p>
    <w:p>
      <w:pPr>
        <w:pStyle w:val="Heading2"/>
        <w:spacing w:after="120" w:before="240"/>
      </w:pPr>
      <w:r>
        <w:rPr>
          <w:rFonts w:ascii="Arial" w:cs="Arial" w:eastAsia="Arial" w:hAnsi="Arial"/>
          <w:b/>
          <w:bCs/>
          <w:color w:val="1B3A6B"/>
          <w:sz w:val="26"/>
          <w:szCs w:val="26"/>
        </w:rPr>
        <w:t xml:space="preserve">3.6 Emergency Procedures</w:t>
      </w:r>
    </w:p>
    <w:p>
      <w:pPr>
        <w:spacing w:after="120" w:before="0"/>
      </w:pPr>
      <w:r>
        <w:rPr>
          <w:rFonts w:ascii="Arial" w:cs="Arial" w:eastAsia="Arial" w:hAnsi="Arial"/>
          <w:color w:val="1A1A2E"/>
          <w:sz w:val="20"/>
          <w:szCs w:val="20"/>
        </w:rPr>
        <w:t xml:space="preserve">MGT will maintain up-to-date emergency response plans for all facilities. These include evacuation procedures, fire safety, first aid protocols, and emergency contact directories. Regular drills will be conducted at least twice per year.</w:t>
      </w:r>
    </w:p>
    <w:p>
      <w:pPr>
        <w:pStyle w:val="Heading2"/>
        <w:spacing w:after="120" w:before="240"/>
      </w:pPr>
      <w:r>
        <w:rPr>
          <w:rFonts w:ascii="Arial" w:cs="Arial" w:eastAsia="Arial" w:hAnsi="Arial"/>
          <w:b/>
          <w:bCs/>
          <w:color w:val="1B3A6B"/>
          <w:sz w:val="26"/>
          <w:szCs w:val="26"/>
        </w:rPr>
        <w:t xml:space="preserve">3.7 Mental Health &amp; Wellbeing</w:t>
      </w:r>
    </w:p>
    <w:p>
      <w:pPr>
        <w:spacing w:after="120" w:before="0"/>
      </w:pPr>
      <w:r>
        <w:rPr>
          <w:rFonts w:ascii="Arial" w:cs="Arial" w:eastAsia="Arial" w:hAnsi="Arial"/>
          <w:color w:val="1A1A2E"/>
          <w:sz w:val="20"/>
          <w:szCs w:val="20"/>
        </w:rPr>
        <w:t xml:space="preserve">MGT recognises that mental health is integral to overall wellbeing. We will:</w:t>
      </w:r>
    </w:p>
    <w:p>
      <w:pPr>
        <w:pStyle w:val="ListParagraph"/>
        <w:numPr>
          <w:ilvl w:val="0"/>
          <w:numId w:val="2"/>
        </w:numPr>
        <w:spacing w:after="80" w:before="0"/>
      </w:pPr>
      <w:r>
        <w:rPr>
          <w:rFonts w:ascii="Arial" w:cs="Arial" w:eastAsia="Arial" w:hAnsi="Arial"/>
          <w:color w:val="1A1A2E"/>
          <w:sz w:val="20"/>
          <w:szCs w:val="20"/>
        </w:rPr>
        <w:t xml:space="preserve">Promote a psychologically safe workplace free from undue stress and bullying.</w:t>
      </w:r>
    </w:p>
    <w:p>
      <w:pPr>
        <w:pStyle w:val="ListParagraph"/>
        <w:numPr>
          <w:ilvl w:val="0"/>
          <w:numId w:val="2"/>
        </w:numPr>
        <w:spacing w:after="80" w:before="0"/>
      </w:pPr>
      <w:r>
        <w:rPr>
          <w:rFonts w:ascii="Arial" w:cs="Arial" w:eastAsia="Arial" w:hAnsi="Arial"/>
          <w:color w:val="1A1A2E"/>
          <w:sz w:val="20"/>
          <w:szCs w:val="20"/>
        </w:rPr>
        <w:t xml:space="preserve">Provide access to an Employee Assistance Programme (EAP).</w:t>
      </w:r>
    </w:p>
    <w:p>
      <w:pPr>
        <w:pStyle w:val="ListParagraph"/>
        <w:numPr>
          <w:ilvl w:val="0"/>
          <w:numId w:val="2"/>
        </w:numPr>
        <w:spacing w:after="80" w:before="0"/>
      </w:pPr>
      <w:r>
        <w:rPr>
          <w:rFonts w:ascii="Arial" w:cs="Arial" w:eastAsia="Arial" w:hAnsi="Arial"/>
          <w:color w:val="1A1A2E"/>
          <w:sz w:val="20"/>
          <w:szCs w:val="20"/>
        </w:rPr>
        <w:t xml:space="preserve">Train managers to identify and respond to signs of mental health distress.</w:t>
      </w:r>
    </w:p>
    <w:p>
      <w:pPr>
        <w:pStyle w:val="ListParagraph"/>
        <w:numPr>
          <w:ilvl w:val="0"/>
          <w:numId w:val="2"/>
        </w:numPr>
        <w:spacing w:after="80" w:before="0"/>
      </w:pPr>
      <w:r>
        <w:rPr>
          <w:rFonts w:ascii="Arial" w:cs="Arial" w:eastAsia="Arial" w:hAnsi="Arial"/>
          <w:color w:val="1A1A2E"/>
          <w:sz w:val="20"/>
          <w:szCs w:val="20"/>
        </w:rPr>
        <w:t xml:space="preserve">Encourage open conversation about mental health without stigma.</w:t>
      </w:r>
    </w:p>
    <w:p>
      <w:pPr>
        <w:pStyle w:val="Heading2"/>
        <w:spacing w:after="120" w:before="240"/>
      </w:pPr>
      <w:r>
        <w:rPr>
          <w:rFonts w:ascii="Arial" w:cs="Arial" w:eastAsia="Arial" w:hAnsi="Arial"/>
          <w:b/>
          <w:bCs/>
          <w:color w:val="1B3A6B"/>
          <w:sz w:val="26"/>
          <w:szCs w:val="26"/>
        </w:rPr>
        <w:t xml:space="preserve">3.8 Return to Work</w:t>
      </w:r>
    </w:p>
    <w:p>
      <w:pPr>
        <w:spacing w:after="120" w:before="0"/>
      </w:pPr>
      <w:r>
        <w:rPr>
          <w:rFonts w:ascii="Arial" w:cs="Arial" w:eastAsia="Arial" w:hAnsi="Arial"/>
          <w:color w:val="1A1A2E"/>
          <w:sz w:val="20"/>
          <w:szCs w:val="20"/>
        </w:rPr>
        <w:t xml:space="preserve">MGT is committed to supporting injured or ill employees in safely returning to work. Graduated return-to-work plans will be developed in consultation with the employee, their medical practitioner, and HR.</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04</w:t>
            </w:r>
          </w:p>
          <w:p>
            <w:pPr>
              <w:spacing w:after="0" w:before="0"/>
            </w:pPr>
            <w:r>
              <w:rPr>
                <w:rFonts w:ascii="Arial" w:cs="Arial" w:eastAsia="Arial" w:hAnsi="Arial"/>
                <w:b/>
                <w:bCs/>
                <w:color w:val="FFFFFF"/>
                <w:sz w:val="32"/>
                <w:szCs w:val="32"/>
              </w:rPr>
              <w:t xml:space="preserve">Leave and Time Off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permanent and fixed-term employees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4.1 Purpose</w:t>
      </w:r>
    </w:p>
    <w:p>
      <w:pPr>
        <w:spacing w:after="120" w:before="0"/>
      </w:pPr>
      <w:r>
        <w:rPr>
          <w:rFonts w:ascii="Arial" w:cs="Arial" w:eastAsia="Arial" w:hAnsi="Arial"/>
          <w:color w:val="1A1A2E"/>
          <w:sz w:val="20"/>
          <w:szCs w:val="20"/>
        </w:rPr>
        <w:t xml:space="preserve">This policy outlines the types of leave available to MGT employees, applicable entitlements, request procedures, and responsibilities of both employees and management.</w:t>
      </w:r>
    </w:p>
    <w:p>
      <w:pPr>
        <w:pStyle w:val="Heading2"/>
        <w:spacing w:after="120" w:before="240"/>
      </w:pPr>
      <w:r>
        <w:rPr>
          <w:rFonts w:ascii="Arial" w:cs="Arial" w:eastAsia="Arial" w:hAnsi="Arial"/>
          <w:b/>
          <w:bCs/>
          <w:color w:val="1B3A6B"/>
          <w:sz w:val="26"/>
          <w:szCs w:val="26"/>
        </w:rPr>
        <w:t xml:space="preserve">4.2 Annual Leave</w:t>
      </w:r>
    </w:p>
    <w:p>
      <w:pPr>
        <w:pStyle w:val="ListParagraph"/>
        <w:numPr>
          <w:ilvl w:val="0"/>
          <w:numId w:val="2"/>
        </w:numPr>
        <w:spacing w:after="80" w:before="0"/>
      </w:pPr>
      <w:r>
        <w:rPr>
          <w:rFonts w:ascii="Arial" w:cs="Arial" w:eastAsia="Arial" w:hAnsi="Arial"/>
          <w:color w:val="1A1A2E"/>
          <w:sz w:val="20"/>
          <w:szCs w:val="20"/>
        </w:rPr>
        <w:t xml:space="preserve">Full-time employees accrue 15 working days of annual leave per year (pro-rated for part-time).</w:t>
      </w:r>
    </w:p>
    <w:p>
      <w:pPr>
        <w:pStyle w:val="ListParagraph"/>
        <w:numPr>
          <w:ilvl w:val="0"/>
          <w:numId w:val="2"/>
        </w:numPr>
        <w:spacing w:after="80" w:before="0"/>
      </w:pPr>
      <w:r>
        <w:rPr>
          <w:rFonts w:ascii="Arial" w:cs="Arial" w:eastAsia="Arial" w:hAnsi="Arial"/>
          <w:color w:val="1A1A2E"/>
          <w:sz w:val="20"/>
          <w:szCs w:val="20"/>
        </w:rPr>
        <w:t xml:space="preserve">Leave must be requested in writing (or via the HR system) at least 10 working days in advance.</w:t>
      </w:r>
    </w:p>
    <w:p>
      <w:pPr>
        <w:pStyle w:val="ListParagraph"/>
        <w:numPr>
          <w:ilvl w:val="0"/>
          <w:numId w:val="2"/>
        </w:numPr>
        <w:spacing w:after="80" w:before="0"/>
      </w:pPr>
      <w:r>
        <w:rPr>
          <w:rFonts w:ascii="Arial" w:cs="Arial" w:eastAsia="Arial" w:hAnsi="Arial"/>
          <w:color w:val="1A1A2E"/>
          <w:sz w:val="20"/>
          <w:szCs w:val="20"/>
        </w:rPr>
        <w:t xml:space="preserve">Approval is subject to operational requirements and management discretion.</w:t>
      </w:r>
    </w:p>
    <w:p>
      <w:pPr>
        <w:pStyle w:val="ListParagraph"/>
        <w:numPr>
          <w:ilvl w:val="0"/>
          <w:numId w:val="2"/>
        </w:numPr>
        <w:spacing w:after="80" w:before="0"/>
      </w:pPr>
      <w:r>
        <w:rPr>
          <w:rFonts w:ascii="Arial" w:cs="Arial" w:eastAsia="Arial" w:hAnsi="Arial"/>
          <w:color w:val="1A1A2E"/>
          <w:sz w:val="20"/>
          <w:szCs w:val="20"/>
        </w:rPr>
        <w:t xml:space="preserve">Leave balances may not exceed 30 days; employees will be encouraged to use excess leave.</w:t>
      </w:r>
    </w:p>
    <w:p>
      <w:pPr>
        <w:pStyle w:val="ListParagraph"/>
        <w:numPr>
          <w:ilvl w:val="0"/>
          <w:numId w:val="2"/>
        </w:numPr>
        <w:spacing w:after="80" w:before="0"/>
      </w:pPr>
      <w:r>
        <w:rPr>
          <w:rFonts w:ascii="Arial" w:cs="Arial" w:eastAsia="Arial" w:hAnsi="Arial"/>
          <w:color w:val="1A1A2E"/>
          <w:sz w:val="20"/>
          <w:szCs w:val="20"/>
        </w:rPr>
        <w:t xml:space="preserve">Unused leave is paid out upon termination of employment.</w:t>
      </w:r>
    </w:p>
    <w:p>
      <w:pPr>
        <w:pStyle w:val="Heading2"/>
        <w:spacing w:after="120" w:before="240"/>
      </w:pPr>
      <w:r>
        <w:rPr>
          <w:rFonts w:ascii="Arial" w:cs="Arial" w:eastAsia="Arial" w:hAnsi="Arial"/>
          <w:b/>
          <w:bCs/>
          <w:color w:val="1B3A6B"/>
          <w:sz w:val="26"/>
          <w:szCs w:val="26"/>
        </w:rPr>
        <w:t xml:space="preserve">4.3 Sick Leave</w:t>
      </w:r>
    </w:p>
    <w:p>
      <w:pPr>
        <w:pStyle w:val="ListParagraph"/>
        <w:numPr>
          <w:ilvl w:val="0"/>
          <w:numId w:val="2"/>
        </w:numPr>
        <w:spacing w:after="80" w:before="0"/>
      </w:pPr>
      <w:r>
        <w:rPr>
          <w:rFonts w:ascii="Arial" w:cs="Arial" w:eastAsia="Arial" w:hAnsi="Arial"/>
          <w:color w:val="1A1A2E"/>
          <w:sz w:val="20"/>
          <w:szCs w:val="20"/>
        </w:rPr>
        <w:t xml:space="preserve">Employees are entitled to 10 days of paid sick leave per annum.</w:t>
      </w:r>
    </w:p>
    <w:p>
      <w:pPr>
        <w:pStyle w:val="ListParagraph"/>
        <w:numPr>
          <w:ilvl w:val="0"/>
          <w:numId w:val="2"/>
        </w:numPr>
        <w:spacing w:after="80" w:before="0"/>
      </w:pPr>
      <w:r>
        <w:rPr>
          <w:rFonts w:ascii="Arial" w:cs="Arial" w:eastAsia="Arial" w:hAnsi="Arial"/>
          <w:color w:val="1A1A2E"/>
          <w:sz w:val="20"/>
          <w:szCs w:val="20"/>
        </w:rPr>
        <w:t xml:space="preserve">Absences of 3 or more consecutive days require a medical certificate.</w:t>
      </w:r>
    </w:p>
    <w:p>
      <w:pPr>
        <w:pStyle w:val="ListParagraph"/>
        <w:numPr>
          <w:ilvl w:val="0"/>
          <w:numId w:val="2"/>
        </w:numPr>
        <w:spacing w:after="80" w:before="0"/>
      </w:pPr>
      <w:r>
        <w:rPr>
          <w:rFonts w:ascii="Arial" w:cs="Arial" w:eastAsia="Arial" w:hAnsi="Arial"/>
          <w:color w:val="1A1A2E"/>
          <w:sz w:val="20"/>
          <w:szCs w:val="20"/>
        </w:rPr>
        <w:t xml:space="preserve">Sick leave does not carry over or accumulate year to year.</w:t>
      </w:r>
    </w:p>
    <w:p>
      <w:pPr>
        <w:pStyle w:val="ListParagraph"/>
        <w:numPr>
          <w:ilvl w:val="0"/>
          <w:numId w:val="2"/>
        </w:numPr>
        <w:spacing w:after="80" w:before="0"/>
      </w:pPr>
      <w:r>
        <w:rPr>
          <w:rFonts w:ascii="Arial" w:cs="Arial" w:eastAsia="Arial" w:hAnsi="Arial"/>
          <w:color w:val="1A1A2E"/>
          <w:sz w:val="20"/>
          <w:szCs w:val="20"/>
        </w:rPr>
        <w:t xml:space="preserve">Chronic or long-term illness will be managed in accordance with applicable legislation.</w:t>
      </w:r>
    </w:p>
    <w:p>
      <w:pPr>
        <w:pStyle w:val="Heading2"/>
        <w:spacing w:after="120" w:before="240"/>
      </w:pPr>
      <w:r>
        <w:rPr>
          <w:rFonts w:ascii="Arial" w:cs="Arial" w:eastAsia="Arial" w:hAnsi="Arial"/>
          <w:b/>
          <w:bCs/>
          <w:color w:val="1B3A6B"/>
          <w:sz w:val="26"/>
          <w:szCs w:val="26"/>
        </w:rPr>
        <w:t xml:space="preserve">4.4 Maternity / Parental Leave</w:t>
      </w:r>
    </w:p>
    <w:p>
      <w:pPr>
        <w:pStyle w:val="ListParagraph"/>
        <w:numPr>
          <w:ilvl w:val="0"/>
          <w:numId w:val="2"/>
        </w:numPr>
        <w:spacing w:after="80" w:before="0"/>
      </w:pPr>
      <w:r>
        <w:rPr>
          <w:rFonts w:ascii="Arial" w:cs="Arial" w:eastAsia="Arial" w:hAnsi="Arial"/>
          <w:color w:val="1A1A2E"/>
          <w:sz w:val="20"/>
          <w:szCs w:val="20"/>
        </w:rPr>
        <w:t xml:space="preserve">Primary caregivers are entitled to 4 months (approximately 17 weeks) of parental leave.</w:t>
      </w:r>
    </w:p>
    <w:p>
      <w:pPr>
        <w:pStyle w:val="ListParagraph"/>
        <w:numPr>
          <w:ilvl w:val="0"/>
          <w:numId w:val="2"/>
        </w:numPr>
        <w:spacing w:after="80" w:before="0"/>
      </w:pPr>
      <w:r>
        <w:rPr>
          <w:rFonts w:ascii="Arial" w:cs="Arial" w:eastAsia="Arial" w:hAnsi="Arial"/>
          <w:color w:val="1A1A2E"/>
          <w:sz w:val="20"/>
          <w:szCs w:val="20"/>
        </w:rPr>
        <w:t xml:space="preserve">Secondary caregivers are entitled to 10 consecutive days of parental leave.</w:t>
      </w:r>
    </w:p>
    <w:p>
      <w:pPr>
        <w:pStyle w:val="ListParagraph"/>
        <w:numPr>
          <w:ilvl w:val="0"/>
          <w:numId w:val="2"/>
        </w:numPr>
        <w:spacing w:after="80" w:before="0"/>
      </w:pPr>
      <w:r>
        <w:rPr>
          <w:rFonts w:ascii="Arial" w:cs="Arial" w:eastAsia="Arial" w:hAnsi="Arial"/>
          <w:color w:val="1A1A2E"/>
          <w:sz w:val="20"/>
          <w:szCs w:val="20"/>
        </w:rPr>
        <w:t xml:space="preserve">Parental leave may be paid, unpaid, or a combination, subject to statutory requirements.</w:t>
      </w:r>
    </w:p>
    <w:p>
      <w:pPr>
        <w:pStyle w:val="ListParagraph"/>
        <w:numPr>
          <w:ilvl w:val="0"/>
          <w:numId w:val="2"/>
        </w:numPr>
        <w:spacing w:after="80" w:before="0"/>
      </w:pPr>
      <w:r>
        <w:rPr>
          <w:rFonts w:ascii="Arial" w:cs="Arial" w:eastAsia="Arial" w:hAnsi="Arial"/>
          <w:color w:val="1A1A2E"/>
          <w:sz w:val="20"/>
          <w:szCs w:val="20"/>
        </w:rPr>
        <w:t xml:space="preserve">Employees must provide at least 4 weeks' written notice of intention to take parental leave.</w:t>
      </w:r>
    </w:p>
    <w:p>
      <w:pPr>
        <w:pStyle w:val="Heading2"/>
        <w:spacing w:after="120" w:before="240"/>
      </w:pPr>
      <w:r>
        <w:rPr>
          <w:rFonts w:ascii="Arial" w:cs="Arial" w:eastAsia="Arial" w:hAnsi="Arial"/>
          <w:b/>
          <w:bCs/>
          <w:color w:val="1B3A6B"/>
          <w:sz w:val="26"/>
          <w:szCs w:val="26"/>
        </w:rPr>
        <w:t xml:space="preserve">4.5 Family Responsibility Leave</w:t>
      </w:r>
    </w:p>
    <w:p>
      <w:pPr>
        <w:pStyle w:val="ListParagraph"/>
        <w:numPr>
          <w:ilvl w:val="0"/>
          <w:numId w:val="2"/>
        </w:numPr>
        <w:spacing w:after="80" w:before="0"/>
      </w:pPr>
      <w:r>
        <w:rPr>
          <w:rFonts w:ascii="Arial" w:cs="Arial" w:eastAsia="Arial" w:hAnsi="Arial"/>
          <w:color w:val="1A1A2E"/>
          <w:sz w:val="20"/>
          <w:szCs w:val="20"/>
        </w:rPr>
        <w:t xml:space="preserve">3 days per annum for care of a sick child, spouse/partner, or the death of an immediate family member.</w:t>
      </w:r>
    </w:p>
    <w:p>
      <w:pPr>
        <w:pStyle w:val="ListParagraph"/>
        <w:numPr>
          <w:ilvl w:val="0"/>
          <w:numId w:val="2"/>
        </w:numPr>
        <w:spacing w:after="80" w:before="0"/>
      </w:pPr>
      <w:r>
        <w:rPr>
          <w:rFonts w:ascii="Arial" w:cs="Arial" w:eastAsia="Arial" w:hAnsi="Arial"/>
          <w:color w:val="1A1A2E"/>
          <w:sz w:val="20"/>
          <w:szCs w:val="20"/>
        </w:rPr>
        <w:t xml:space="preserve">Documentation may be required at the discretion of management.</w:t>
      </w:r>
    </w:p>
    <w:p>
      <w:pPr>
        <w:pStyle w:val="Heading2"/>
        <w:spacing w:after="120" w:before="240"/>
      </w:pPr>
      <w:r>
        <w:rPr>
          <w:rFonts w:ascii="Arial" w:cs="Arial" w:eastAsia="Arial" w:hAnsi="Arial"/>
          <w:b/>
          <w:bCs/>
          <w:color w:val="1B3A6B"/>
          <w:sz w:val="26"/>
          <w:szCs w:val="26"/>
        </w:rPr>
        <w:t xml:space="preserve">4.6 Study Leave</w:t>
      </w:r>
    </w:p>
    <w:p>
      <w:pPr>
        <w:pStyle w:val="ListParagraph"/>
        <w:numPr>
          <w:ilvl w:val="0"/>
          <w:numId w:val="2"/>
        </w:numPr>
        <w:spacing w:after="80" w:before="0"/>
      </w:pPr>
      <w:r>
        <w:rPr>
          <w:rFonts w:ascii="Arial" w:cs="Arial" w:eastAsia="Arial" w:hAnsi="Arial"/>
          <w:color w:val="1A1A2E"/>
          <w:sz w:val="20"/>
          <w:szCs w:val="20"/>
        </w:rPr>
        <w:t xml:space="preserve">Employees enrolled in approved, work-related studies may apply for up to 5 days of study leave per year.</w:t>
      </w:r>
    </w:p>
    <w:p>
      <w:pPr>
        <w:pStyle w:val="ListParagraph"/>
        <w:numPr>
          <w:ilvl w:val="0"/>
          <w:numId w:val="2"/>
        </w:numPr>
        <w:spacing w:after="80" w:before="0"/>
      </w:pPr>
      <w:r>
        <w:rPr>
          <w:rFonts w:ascii="Arial" w:cs="Arial" w:eastAsia="Arial" w:hAnsi="Arial"/>
          <w:color w:val="1A1A2E"/>
          <w:sz w:val="20"/>
          <w:szCs w:val="20"/>
        </w:rPr>
        <w:t xml:space="preserve">Applications must be submitted with enrolment proof and approved by the employee's manager and HR.</w:t>
      </w:r>
    </w:p>
    <w:p>
      <w:pPr>
        <w:pStyle w:val="Heading2"/>
        <w:spacing w:after="120" w:before="240"/>
      </w:pPr>
      <w:r>
        <w:rPr>
          <w:rFonts w:ascii="Arial" w:cs="Arial" w:eastAsia="Arial" w:hAnsi="Arial"/>
          <w:b/>
          <w:bCs/>
          <w:color w:val="1B3A6B"/>
          <w:sz w:val="26"/>
          <w:szCs w:val="26"/>
        </w:rPr>
        <w:t xml:space="preserve">4.7 Bereavement Leave</w:t>
      </w:r>
    </w:p>
    <w:p>
      <w:pPr>
        <w:pStyle w:val="ListParagraph"/>
        <w:numPr>
          <w:ilvl w:val="0"/>
          <w:numId w:val="2"/>
        </w:numPr>
        <w:spacing w:after="80" w:before="0"/>
      </w:pPr>
      <w:r>
        <w:rPr>
          <w:rFonts w:ascii="Arial" w:cs="Arial" w:eastAsia="Arial" w:hAnsi="Arial"/>
          <w:color w:val="1A1A2E"/>
          <w:sz w:val="20"/>
          <w:szCs w:val="20"/>
        </w:rPr>
        <w:t xml:space="preserve">Up to 5 days for the death of an immediate family member (spouse, child, parent, sibling).</w:t>
      </w:r>
    </w:p>
    <w:p>
      <w:pPr>
        <w:pStyle w:val="ListParagraph"/>
        <w:numPr>
          <w:ilvl w:val="0"/>
          <w:numId w:val="2"/>
        </w:numPr>
        <w:spacing w:after="80" w:before="0"/>
      </w:pPr>
      <w:r>
        <w:rPr>
          <w:rFonts w:ascii="Arial" w:cs="Arial" w:eastAsia="Arial" w:hAnsi="Arial"/>
          <w:color w:val="1A1A2E"/>
          <w:sz w:val="20"/>
          <w:szCs w:val="20"/>
        </w:rPr>
        <w:t xml:space="preserve">Up to 3 days for extended family members (grandparent, in-law).</w:t>
      </w:r>
    </w:p>
    <w:p>
      <w:pPr>
        <w:pStyle w:val="Heading2"/>
        <w:spacing w:after="120" w:before="240"/>
      </w:pPr>
      <w:r>
        <w:rPr>
          <w:rFonts w:ascii="Arial" w:cs="Arial" w:eastAsia="Arial" w:hAnsi="Arial"/>
          <w:b/>
          <w:bCs/>
          <w:color w:val="1B3A6B"/>
          <w:sz w:val="26"/>
          <w:szCs w:val="26"/>
        </w:rPr>
        <w:t xml:space="preserve">4.8 Public Holidays</w:t>
      </w:r>
    </w:p>
    <w:p>
      <w:pPr>
        <w:spacing w:after="120" w:before="0"/>
      </w:pPr>
      <w:r>
        <w:rPr>
          <w:rFonts w:ascii="Arial" w:cs="Arial" w:eastAsia="Arial" w:hAnsi="Arial"/>
          <w:color w:val="1A1A2E"/>
          <w:sz w:val="20"/>
          <w:szCs w:val="20"/>
        </w:rPr>
        <w:t xml:space="preserve">MGT observes all public holidays as declared by the relevant national and local authorities. Employees required to work on public holidays will receive compensation in accordance with applicable labour law.</w:t>
      </w:r>
    </w:p>
    <w:p>
      <w:pPr>
        <w:pStyle w:val="Heading2"/>
        <w:spacing w:after="120" w:before="240"/>
      </w:pPr>
      <w:r>
        <w:rPr>
          <w:rFonts w:ascii="Arial" w:cs="Arial" w:eastAsia="Arial" w:hAnsi="Arial"/>
          <w:b/>
          <w:bCs/>
          <w:color w:val="1B3A6B"/>
          <w:sz w:val="26"/>
          <w:szCs w:val="26"/>
        </w:rPr>
        <w:t xml:space="preserve">4.9 Unpaid Leave</w:t>
      </w:r>
    </w:p>
    <w:p>
      <w:pPr>
        <w:spacing w:after="120" w:before="0"/>
      </w:pPr>
      <w:r>
        <w:rPr>
          <w:rFonts w:ascii="Arial" w:cs="Arial" w:eastAsia="Arial" w:hAnsi="Arial"/>
          <w:color w:val="1A1A2E"/>
          <w:sz w:val="20"/>
          <w:szCs w:val="20"/>
        </w:rPr>
        <w:t xml:space="preserve">Unpaid leave may be granted at management discretion for circumstances not covered by other leave categories. Requests must be submitted in writing with justification.</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05</w:t>
            </w:r>
          </w:p>
          <w:p>
            <w:pPr>
              <w:spacing w:after="0" w:before="0"/>
            </w:pPr>
            <w:r>
              <w:rPr>
                <w:rFonts w:ascii="Arial" w:cs="Arial" w:eastAsia="Arial" w:hAnsi="Arial"/>
                <w:b/>
                <w:bCs/>
                <w:color w:val="FFFFFF"/>
                <w:sz w:val="32"/>
                <w:szCs w:val="32"/>
              </w:rPr>
              <w:t xml:space="preserve">Data Protection and Privacy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MGT-IT-001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IT / Legal / 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and third-party processors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5.1 Purpose</w:t>
      </w:r>
    </w:p>
    <w:p>
      <w:pPr>
        <w:spacing w:after="120" w:before="0"/>
      </w:pPr>
      <w:r>
        <w:rPr>
          <w:rFonts w:ascii="Arial" w:cs="Arial" w:eastAsia="Arial" w:hAnsi="Arial"/>
          <w:color w:val="1A1A2E"/>
          <w:sz w:val="20"/>
          <w:szCs w:val="20"/>
        </w:rPr>
        <w:t xml:space="preserve">MGT is committed to protecting personal data in accordance with applicable data protection legislation. This policy sets out how we collect, store, process, and protect personal information relating to employees, clients, and third parties.</w:t>
      </w:r>
    </w:p>
    <w:p>
      <w:pPr>
        <w:pStyle w:val="Heading2"/>
        <w:spacing w:after="120" w:before="240"/>
      </w:pPr>
      <w:r>
        <w:rPr>
          <w:rFonts w:ascii="Arial" w:cs="Arial" w:eastAsia="Arial" w:hAnsi="Arial"/>
          <w:b/>
          <w:bCs/>
          <w:color w:val="1B3A6B"/>
          <w:sz w:val="26"/>
          <w:szCs w:val="26"/>
        </w:rPr>
        <w:t xml:space="preserve">5.2 Definitions</w:t>
      </w:r>
    </w:p>
    <w:p>
      <w:pPr>
        <w:pStyle w:val="ListParagraph"/>
        <w:numPr>
          <w:ilvl w:val="0"/>
          <w:numId w:val="2"/>
        </w:numPr>
        <w:spacing w:after="80" w:before="0"/>
      </w:pPr>
      <w:r>
        <w:rPr>
          <w:rFonts w:ascii="Arial" w:cs="Arial" w:eastAsia="Arial" w:hAnsi="Arial"/>
          <w:color w:val="1A1A2E"/>
          <w:sz w:val="20"/>
          <w:szCs w:val="20"/>
        </w:rPr>
        <w:t xml:space="preserve">Personal Data: Any information relating to an identified or identifiable living individual.</w:t>
      </w:r>
    </w:p>
    <w:p>
      <w:pPr>
        <w:pStyle w:val="ListParagraph"/>
        <w:numPr>
          <w:ilvl w:val="0"/>
          <w:numId w:val="2"/>
        </w:numPr>
        <w:spacing w:after="80" w:before="0"/>
      </w:pPr>
      <w:r>
        <w:rPr>
          <w:rFonts w:ascii="Arial" w:cs="Arial" w:eastAsia="Arial" w:hAnsi="Arial"/>
          <w:color w:val="1A1A2E"/>
          <w:sz w:val="20"/>
          <w:szCs w:val="20"/>
        </w:rPr>
        <w:t xml:space="preserve">Processing: Any operation performed on personal data (collection, storage, use, disclosure, deletion).</w:t>
      </w:r>
    </w:p>
    <w:p>
      <w:pPr>
        <w:pStyle w:val="ListParagraph"/>
        <w:numPr>
          <w:ilvl w:val="0"/>
          <w:numId w:val="2"/>
        </w:numPr>
        <w:spacing w:after="80" w:before="0"/>
      </w:pPr>
      <w:r>
        <w:rPr>
          <w:rFonts w:ascii="Arial" w:cs="Arial" w:eastAsia="Arial" w:hAnsi="Arial"/>
          <w:color w:val="1A1A2E"/>
          <w:sz w:val="20"/>
          <w:szCs w:val="20"/>
        </w:rPr>
        <w:t xml:space="preserve">Data Subject: The individual to whom personal data relates.</w:t>
      </w:r>
    </w:p>
    <w:p>
      <w:pPr>
        <w:pStyle w:val="ListParagraph"/>
        <w:numPr>
          <w:ilvl w:val="0"/>
          <w:numId w:val="2"/>
        </w:numPr>
        <w:spacing w:after="80" w:before="0"/>
      </w:pPr>
      <w:r>
        <w:rPr>
          <w:rFonts w:ascii="Arial" w:cs="Arial" w:eastAsia="Arial" w:hAnsi="Arial"/>
          <w:color w:val="1A1A2E"/>
          <w:sz w:val="20"/>
          <w:szCs w:val="20"/>
        </w:rPr>
        <w:t xml:space="preserve">Data Controller: MGT, which determines the purposes and means of processing.</w:t>
      </w:r>
    </w:p>
    <w:p>
      <w:pPr>
        <w:pStyle w:val="Heading2"/>
        <w:spacing w:after="120" w:before="240"/>
      </w:pPr>
      <w:r>
        <w:rPr>
          <w:rFonts w:ascii="Arial" w:cs="Arial" w:eastAsia="Arial" w:hAnsi="Arial"/>
          <w:b/>
          <w:bCs/>
          <w:color w:val="1B3A6B"/>
          <w:sz w:val="26"/>
          <w:szCs w:val="26"/>
        </w:rPr>
        <w:t xml:space="preserve">5.3 Data Protection Principles</w:t>
      </w:r>
    </w:p>
    <w:p>
      <w:pPr>
        <w:spacing w:after="120" w:before="0"/>
      </w:pPr>
      <w:r>
        <w:rPr>
          <w:rFonts w:ascii="Arial" w:cs="Arial" w:eastAsia="Arial" w:hAnsi="Arial"/>
          <w:color w:val="1A1A2E"/>
          <w:sz w:val="20"/>
          <w:szCs w:val="20"/>
        </w:rPr>
        <w:t xml:space="preserve">All personal data processed by MGT will be:</w:t>
      </w:r>
    </w:p>
    <w:p>
      <w:pPr>
        <w:pStyle w:val="ListParagraph"/>
        <w:numPr>
          <w:ilvl w:val="0"/>
          <w:numId w:val="3"/>
        </w:numPr>
        <w:spacing w:after="80" w:before="0"/>
      </w:pPr>
      <w:r>
        <w:rPr>
          <w:rFonts w:ascii="Arial" w:cs="Arial" w:eastAsia="Arial" w:hAnsi="Arial"/>
          <w:color w:val="1A1A2E"/>
          <w:sz w:val="20"/>
          <w:szCs w:val="20"/>
        </w:rPr>
        <w:t xml:space="preserve">Processed lawfully, fairly, and transparently.</w:t>
      </w:r>
    </w:p>
    <w:p>
      <w:pPr>
        <w:pStyle w:val="ListParagraph"/>
        <w:numPr>
          <w:ilvl w:val="0"/>
          <w:numId w:val="3"/>
        </w:numPr>
        <w:spacing w:after="80" w:before="0"/>
      </w:pPr>
      <w:r>
        <w:rPr>
          <w:rFonts w:ascii="Arial" w:cs="Arial" w:eastAsia="Arial" w:hAnsi="Arial"/>
          <w:color w:val="1A1A2E"/>
          <w:sz w:val="20"/>
          <w:szCs w:val="20"/>
        </w:rPr>
        <w:t xml:space="preserve">Collected for specified, explicit, and legitimate purposes.</w:t>
      </w:r>
    </w:p>
    <w:p>
      <w:pPr>
        <w:pStyle w:val="ListParagraph"/>
        <w:numPr>
          <w:ilvl w:val="0"/>
          <w:numId w:val="3"/>
        </w:numPr>
        <w:spacing w:after="80" w:before="0"/>
      </w:pPr>
      <w:r>
        <w:rPr>
          <w:rFonts w:ascii="Arial" w:cs="Arial" w:eastAsia="Arial" w:hAnsi="Arial"/>
          <w:color w:val="1A1A2E"/>
          <w:sz w:val="20"/>
          <w:szCs w:val="20"/>
        </w:rPr>
        <w:t xml:space="preserve">Adequate, relevant, and limited to what is necessary.</w:t>
      </w:r>
    </w:p>
    <w:p>
      <w:pPr>
        <w:pStyle w:val="ListParagraph"/>
        <w:numPr>
          <w:ilvl w:val="0"/>
          <w:numId w:val="3"/>
        </w:numPr>
        <w:spacing w:after="80" w:before="0"/>
      </w:pPr>
      <w:r>
        <w:rPr>
          <w:rFonts w:ascii="Arial" w:cs="Arial" w:eastAsia="Arial" w:hAnsi="Arial"/>
          <w:color w:val="1A1A2E"/>
          <w:sz w:val="20"/>
          <w:szCs w:val="20"/>
        </w:rPr>
        <w:t xml:space="preserve">Accurate and kept up to date.</w:t>
      </w:r>
    </w:p>
    <w:p>
      <w:pPr>
        <w:pStyle w:val="ListParagraph"/>
        <w:numPr>
          <w:ilvl w:val="0"/>
          <w:numId w:val="3"/>
        </w:numPr>
        <w:spacing w:after="80" w:before="0"/>
      </w:pPr>
      <w:r>
        <w:rPr>
          <w:rFonts w:ascii="Arial" w:cs="Arial" w:eastAsia="Arial" w:hAnsi="Arial"/>
          <w:color w:val="1A1A2E"/>
          <w:sz w:val="20"/>
          <w:szCs w:val="20"/>
        </w:rPr>
        <w:t xml:space="preserve">Retained only for as long as necessary.</w:t>
      </w:r>
    </w:p>
    <w:p>
      <w:pPr>
        <w:pStyle w:val="ListParagraph"/>
        <w:numPr>
          <w:ilvl w:val="0"/>
          <w:numId w:val="3"/>
        </w:numPr>
        <w:spacing w:after="80" w:before="0"/>
      </w:pPr>
      <w:r>
        <w:rPr>
          <w:rFonts w:ascii="Arial" w:cs="Arial" w:eastAsia="Arial" w:hAnsi="Arial"/>
          <w:color w:val="1A1A2E"/>
          <w:sz w:val="20"/>
          <w:szCs w:val="20"/>
        </w:rPr>
        <w:t xml:space="preserve">Processed securely using appropriate technical and organisational measures.</w:t>
      </w:r>
    </w:p>
    <w:p>
      <w:pPr>
        <w:pStyle w:val="Heading2"/>
        <w:spacing w:after="120" w:before="240"/>
      </w:pPr>
      <w:r>
        <w:rPr>
          <w:rFonts w:ascii="Arial" w:cs="Arial" w:eastAsia="Arial" w:hAnsi="Arial"/>
          <w:b/>
          <w:bCs/>
          <w:color w:val="1B3A6B"/>
          <w:sz w:val="26"/>
          <w:szCs w:val="26"/>
        </w:rPr>
        <w:t xml:space="preserve">5.4 Data Subject Rights</w:t>
      </w:r>
    </w:p>
    <w:p>
      <w:pPr>
        <w:spacing w:after="120" w:before="0"/>
      </w:pPr>
      <w:r>
        <w:rPr>
          <w:rFonts w:ascii="Arial" w:cs="Arial" w:eastAsia="Arial" w:hAnsi="Arial"/>
          <w:color w:val="1A1A2E"/>
          <w:sz w:val="20"/>
          <w:szCs w:val="20"/>
        </w:rPr>
        <w:t xml:space="preserve">Individuals have the right to:</w:t>
      </w:r>
    </w:p>
    <w:p>
      <w:pPr>
        <w:pStyle w:val="ListParagraph"/>
        <w:numPr>
          <w:ilvl w:val="0"/>
          <w:numId w:val="2"/>
        </w:numPr>
        <w:spacing w:after="80" w:before="0"/>
      </w:pPr>
      <w:r>
        <w:rPr>
          <w:rFonts w:ascii="Arial" w:cs="Arial" w:eastAsia="Arial" w:hAnsi="Arial"/>
          <w:color w:val="1A1A2E"/>
          <w:sz w:val="20"/>
          <w:szCs w:val="20"/>
        </w:rPr>
        <w:t xml:space="preserve">Access their personal data held by MGT.</w:t>
      </w:r>
    </w:p>
    <w:p>
      <w:pPr>
        <w:pStyle w:val="ListParagraph"/>
        <w:numPr>
          <w:ilvl w:val="0"/>
          <w:numId w:val="2"/>
        </w:numPr>
        <w:spacing w:after="80" w:before="0"/>
      </w:pPr>
      <w:r>
        <w:rPr>
          <w:rFonts w:ascii="Arial" w:cs="Arial" w:eastAsia="Arial" w:hAnsi="Arial"/>
          <w:color w:val="1A1A2E"/>
          <w:sz w:val="20"/>
          <w:szCs w:val="20"/>
        </w:rPr>
        <w:t xml:space="preserve">Request correction of inaccurate data.</w:t>
      </w:r>
    </w:p>
    <w:p>
      <w:pPr>
        <w:pStyle w:val="ListParagraph"/>
        <w:numPr>
          <w:ilvl w:val="0"/>
          <w:numId w:val="2"/>
        </w:numPr>
        <w:spacing w:after="80" w:before="0"/>
      </w:pPr>
      <w:r>
        <w:rPr>
          <w:rFonts w:ascii="Arial" w:cs="Arial" w:eastAsia="Arial" w:hAnsi="Arial"/>
          <w:color w:val="1A1A2E"/>
          <w:sz w:val="20"/>
          <w:szCs w:val="20"/>
        </w:rPr>
        <w:t xml:space="preserve">Request deletion of data ('right to be forgotten') where applicable.</w:t>
      </w:r>
    </w:p>
    <w:p>
      <w:pPr>
        <w:pStyle w:val="ListParagraph"/>
        <w:numPr>
          <w:ilvl w:val="0"/>
          <w:numId w:val="2"/>
        </w:numPr>
        <w:spacing w:after="80" w:before="0"/>
      </w:pPr>
      <w:r>
        <w:rPr>
          <w:rFonts w:ascii="Arial" w:cs="Arial" w:eastAsia="Arial" w:hAnsi="Arial"/>
          <w:color w:val="1A1A2E"/>
          <w:sz w:val="20"/>
          <w:szCs w:val="20"/>
        </w:rPr>
        <w:t xml:space="preserve">Object to or restrict certain types of processing.</w:t>
      </w:r>
    </w:p>
    <w:p>
      <w:pPr>
        <w:pStyle w:val="ListParagraph"/>
        <w:numPr>
          <w:ilvl w:val="0"/>
          <w:numId w:val="2"/>
        </w:numPr>
        <w:spacing w:after="80" w:before="0"/>
      </w:pPr>
      <w:r>
        <w:rPr>
          <w:rFonts w:ascii="Arial" w:cs="Arial" w:eastAsia="Arial" w:hAnsi="Arial"/>
          <w:color w:val="1A1A2E"/>
          <w:sz w:val="20"/>
          <w:szCs w:val="20"/>
        </w:rPr>
        <w:t xml:space="preserve">Data portability (receive data in a structured, machine-readable format).</w:t>
      </w:r>
    </w:p>
    <w:p>
      <w:pPr>
        <w:pStyle w:val="ListParagraph"/>
        <w:numPr>
          <w:ilvl w:val="0"/>
          <w:numId w:val="2"/>
        </w:numPr>
        <w:spacing w:after="80" w:before="0"/>
      </w:pPr>
      <w:r>
        <w:rPr>
          <w:rFonts w:ascii="Arial" w:cs="Arial" w:eastAsia="Arial" w:hAnsi="Arial"/>
          <w:color w:val="1A1A2E"/>
          <w:sz w:val="20"/>
          <w:szCs w:val="20"/>
        </w:rPr>
        <w:t xml:space="preserve">Lodge a complaint with the relevant regulatory authority.</w:t>
      </w:r>
    </w:p>
    <w:p>
      <w:pPr>
        <w:pStyle w:val="Heading2"/>
        <w:spacing w:after="120" w:before="240"/>
      </w:pPr>
      <w:r>
        <w:rPr>
          <w:rFonts w:ascii="Arial" w:cs="Arial" w:eastAsia="Arial" w:hAnsi="Arial"/>
          <w:b/>
          <w:bCs/>
          <w:color w:val="1B3A6B"/>
          <w:sz w:val="26"/>
          <w:szCs w:val="26"/>
        </w:rPr>
        <w:t xml:space="preserve">5.5 Data Security</w:t>
      </w:r>
    </w:p>
    <w:p>
      <w:pPr>
        <w:spacing w:after="120" w:before="0"/>
      </w:pPr>
      <w:r>
        <w:rPr>
          <w:rFonts w:ascii="Arial" w:cs="Arial" w:eastAsia="Arial" w:hAnsi="Arial"/>
          <w:color w:val="1A1A2E"/>
          <w:sz w:val="20"/>
          <w:szCs w:val="20"/>
        </w:rPr>
        <w:t xml:space="preserve">MGT will implement appropriate technical and organisational measures to prevent unauthorised access, disclosure, alteration, or destruction of personal data. These include:</w:t>
      </w:r>
    </w:p>
    <w:p>
      <w:pPr>
        <w:pStyle w:val="ListParagraph"/>
        <w:numPr>
          <w:ilvl w:val="0"/>
          <w:numId w:val="2"/>
        </w:numPr>
        <w:spacing w:after="80" w:before="0"/>
      </w:pPr>
      <w:r>
        <w:rPr>
          <w:rFonts w:ascii="Arial" w:cs="Arial" w:eastAsia="Arial" w:hAnsi="Arial"/>
          <w:color w:val="1A1A2E"/>
          <w:sz w:val="20"/>
          <w:szCs w:val="20"/>
        </w:rPr>
        <w:t xml:space="preserve">Role-based access controls and least-privilege access principles.</w:t>
      </w:r>
    </w:p>
    <w:p>
      <w:pPr>
        <w:pStyle w:val="ListParagraph"/>
        <w:numPr>
          <w:ilvl w:val="0"/>
          <w:numId w:val="2"/>
        </w:numPr>
        <w:spacing w:after="80" w:before="0"/>
      </w:pPr>
      <w:r>
        <w:rPr>
          <w:rFonts w:ascii="Arial" w:cs="Arial" w:eastAsia="Arial" w:hAnsi="Arial"/>
          <w:color w:val="1A1A2E"/>
          <w:sz w:val="20"/>
          <w:szCs w:val="20"/>
        </w:rPr>
        <w:t xml:space="preserve">Encryption of sensitive data at rest and in transit.</w:t>
      </w:r>
    </w:p>
    <w:p>
      <w:pPr>
        <w:pStyle w:val="ListParagraph"/>
        <w:numPr>
          <w:ilvl w:val="0"/>
          <w:numId w:val="2"/>
        </w:numPr>
        <w:spacing w:after="80" w:before="0"/>
      </w:pPr>
      <w:r>
        <w:rPr>
          <w:rFonts w:ascii="Arial" w:cs="Arial" w:eastAsia="Arial" w:hAnsi="Arial"/>
          <w:color w:val="1A1A2E"/>
          <w:sz w:val="20"/>
          <w:szCs w:val="20"/>
        </w:rPr>
        <w:t xml:space="preserve">Regular security awareness training for all employees.</w:t>
      </w:r>
    </w:p>
    <w:p>
      <w:pPr>
        <w:pStyle w:val="ListParagraph"/>
        <w:numPr>
          <w:ilvl w:val="0"/>
          <w:numId w:val="2"/>
        </w:numPr>
        <w:spacing w:after="80" w:before="0"/>
      </w:pPr>
      <w:r>
        <w:rPr>
          <w:rFonts w:ascii="Arial" w:cs="Arial" w:eastAsia="Arial" w:hAnsi="Arial"/>
          <w:color w:val="1A1A2E"/>
          <w:sz w:val="20"/>
          <w:szCs w:val="20"/>
        </w:rPr>
        <w:t xml:space="preserve">Secure disposal of physical and electronic records.</w:t>
      </w:r>
    </w:p>
    <w:p>
      <w:pPr>
        <w:pStyle w:val="ListParagraph"/>
        <w:numPr>
          <w:ilvl w:val="0"/>
          <w:numId w:val="2"/>
        </w:numPr>
        <w:spacing w:after="80" w:before="0"/>
      </w:pPr>
      <w:r>
        <w:rPr>
          <w:rFonts w:ascii="Arial" w:cs="Arial" w:eastAsia="Arial" w:hAnsi="Arial"/>
          <w:color w:val="1A1A2E"/>
          <w:sz w:val="20"/>
          <w:szCs w:val="20"/>
        </w:rPr>
        <w:t xml:space="preserve">Incident response procedures for data breaches.</w:t>
      </w:r>
    </w:p>
    <w:p>
      <w:pPr>
        <w:pStyle w:val="Heading2"/>
        <w:spacing w:after="120" w:before="240"/>
      </w:pPr>
      <w:r>
        <w:rPr>
          <w:rFonts w:ascii="Arial" w:cs="Arial" w:eastAsia="Arial" w:hAnsi="Arial"/>
          <w:b/>
          <w:bCs/>
          <w:color w:val="1B3A6B"/>
          <w:sz w:val="26"/>
          <w:szCs w:val="26"/>
        </w:rPr>
        <w:t xml:space="preserve">5.6 Data Breach Response</w:t>
      </w:r>
    </w:p>
    <w:p>
      <w:pPr>
        <w:spacing w:after="120" w:before="0"/>
      </w:pPr>
      <w:r>
        <w:rPr>
          <w:rFonts w:ascii="Arial" w:cs="Arial" w:eastAsia="Arial" w:hAnsi="Arial"/>
          <w:color w:val="1A1A2E"/>
          <w:sz w:val="20"/>
          <w:szCs w:val="20"/>
        </w:rPr>
        <w:t xml:space="preserve">In the event of a personal data breach, MGT will:</w:t>
      </w:r>
    </w:p>
    <w:p>
      <w:pPr>
        <w:pStyle w:val="ListParagraph"/>
        <w:numPr>
          <w:ilvl w:val="0"/>
          <w:numId w:val="2"/>
        </w:numPr>
        <w:spacing w:after="80" w:before="0"/>
      </w:pPr>
      <w:r>
        <w:rPr>
          <w:rFonts w:ascii="Arial" w:cs="Arial" w:eastAsia="Arial" w:hAnsi="Arial"/>
          <w:color w:val="1A1A2E"/>
          <w:sz w:val="20"/>
          <w:szCs w:val="20"/>
        </w:rPr>
        <w:t xml:space="preserve">Contain the breach and assess the risk to affected individuals.</w:t>
      </w:r>
    </w:p>
    <w:p>
      <w:pPr>
        <w:pStyle w:val="ListParagraph"/>
        <w:numPr>
          <w:ilvl w:val="0"/>
          <w:numId w:val="2"/>
        </w:numPr>
        <w:spacing w:after="80" w:before="0"/>
      </w:pPr>
      <w:r>
        <w:rPr>
          <w:rFonts w:ascii="Arial" w:cs="Arial" w:eastAsia="Arial" w:hAnsi="Arial"/>
          <w:color w:val="1A1A2E"/>
          <w:sz w:val="20"/>
          <w:szCs w:val="20"/>
        </w:rPr>
        <w:t xml:space="preserve">Notify the relevant supervisory authority within 72 hours where legally required.</w:t>
      </w:r>
    </w:p>
    <w:p>
      <w:pPr>
        <w:pStyle w:val="ListParagraph"/>
        <w:numPr>
          <w:ilvl w:val="0"/>
          <w:numId w:val="2"/>
        </w:numPr>
        <w:spacing w:after="80" w:before="0"/>
      </w:pPr>
      <w:r>
        <w:rPr>
          <w:rFonts w:ascii="Arial" w:cs="Arial" w:eastAsia="Arial" w:hAnsi="Arial"/>
          <w:color w:val="1A1A2E"/>
          <w:sz w:val="20"/>
          <w:szCs w:val="20"/>
        </w:rPr>
        <w:t xml:space="preserve">Inform affected data subjects without undue delay where required.</w:t>
      </w:r>
    </w:p>
    <w:p>
      <w:pPr>
        <w:pStyle w:val="ListParagraph"/>
        <w:numPr>
          <w:ilvl w:val="0"/>
          <w:numId w:val="2"/>
        </w:numPr>
        <w:spacing w:after="80" w:before="0"/>
      </w:pPr>
      <w:r>
        <w:rPr>
          <w:rFonts w:ascii="Arial" w:cs="Arial" w:eastAsia="Arial" w:hAnsi="Arial"/>
          <w:color w:val="1A1A2E"/>
          <w:sz w:val="20"/>
          <w:szCs w:val="20"/>
        </w:rPr>
        <w:t xml:space="preserve">Document all breaches in the Data Breach Register.</w:t>
      </w:r>
    </w:p>
    <w:p>
      <w:pPr>
        <w:pStyle w:val="Heading2"/>
        <w:spacing w:after="120" w:before="240"/>
      </w:pPr>
      <w:r>
        <w:rPr>
          <w:rFonts w:ascii="Arial" w:cs="Arial" w:eastAsia="Arial" w:hAnsi="Arial"/>
          <w:b/>
          <w:bCs/>
          <w:color w:val="1B3A6B"/>
          <w:sz w:val="26"/>
          <w:szCs w:val="26"/>
        </w:rPr>
        <w:t xml:space="preserve">5.7 Third-Party Processors</w:t>
      </w:r>
    </w:p>
    <w:p>
      <w:pPr>
        <w:spacing w:after="120" w:before="0"/>
      </w:pPr>
      <w:r>
        <w:rPr>
          <w:rFonts w:ascii="Arial" w:cs="Arial" w:eastAsia="Arial" w:hAnsi="Arial"/>
          <w:color w:val="1A1A2E"/>
          <w:sz w:val="20"/>
          <w:szCs w:val="20"/>
        </w:rPr>
        <w:t xml:space="preserve">MGT will only engage third-party data processors who provide sufficient guarantees regarding data protection. Appropriate data processing agreements (DPAs) must be in place before any personal data is shared with a third party.</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06</w:t>
            </w:r>
          </w:p>
          <w:p>
            <w:pPr>
              <w:spacing w:after="0" w:before="0"/>
            </w:pPr>
            <w:r>
              <w:rPr>
                <w:rFonts w:ascii="Arial" w:cs="Arial" w:eastAsia="Arial" w:hAnsi="Arial"/>
                <w:b/>
                <w:bCs/>
                <w:color w:val="FFFFFF"/>
                <w:sz w:val="32"/>
                <w:szCs w:val="32"/>
              </w:rPr>
              <w:t xml:space="preserve">Social Media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MGT-IT-002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Marketing / HR /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6.1 Purpose</w:t>
      </w:r>
    </w:p>
    <w:p>
      <w:pPr>
        <w:spacing w:after="120" w:before="0"/>
      </w:pPr>
      <w:r>
        <w:rPr>
          <w:rFonts w:ascii="Arial" w:cs="Arial" w:eastAsia="Arial" w:hAnsi="Arial"/>
          <w:color w:val="1A1A2E"/>
          <w:sz w:val="20"/>
          <w:szCs w:val="20"/>
        </w:rPr>
        <w:t xml:space="preserve">This policy provides guidance on the appropriate use of social media platforms by MGT employees, whether acting in an official capacity or in a personal capacity where MGT may be identified or implicated.</w:t>
      </w:r>
    </w:p>
    <w:p>
      <w:pPr>
        <w:pStyle w:val="Heading2"/>
        <w:spacing w:after="120" w:before="240"/>
      </w:pPr>
      <w:r>
        <w:rPr>
          <w:rFonts w:ascii="Arial" w:cs="Arial" w:eastAsia="Arial" w:hAnsi="Arial"/>
          <w:b/>
          <w:bCs/>
          <w:color w:val="1B3A6B"/>
          <w:sz w:val="26"/>
          <w:szCs w:val="26"/>
        </w:rPr>
        <w:t xml:space="preserve">6.2 Official MGT Accounts</w:t>
      </w:r>
    </w:p>
    <w:p>
      <w:pPr>
        <w:spacing w:after="120" w:before="0"/>
      </w:pPr>
      <w:r>
        <w:rPr>
          <w:rFonts w:ascii="Arial" w:cs="Arial" w:eastAsia="Arial" w:hAnsi="Arial"/>
          <w:color w:val="1A1A2E"/>
          <w:sz w:val="20"/>
          <w:szCs w:val="20"/>
        </w:rPr>
        <w:t xml:space="preserve">Only employees authorised by the Marketing department may publish content on MGT's official social media channels. All official communications must be approved through the standard content review process and must comply with brand guidelines.</w:t>
      </w:r>
    </w:p>
    <w:p>
      <w:pPr>
        <w:pStyle w:val="Heading2"/>
        <w:spacing w:after="120" w:before="240"/>
      </w:pPr>
      <w:r>
        <w:rPr>
          <w:rFonts w:ascii="Arial" w:cs="Arial" w:eastAsia="Arial" w:hAnsi="Arial"/>
          <w:b/>
          <w:bCs/>
          <w:color w:val="1B3A6B"/>
          <w:sz w:val="26"/>
          <w:szCs w:val="26"/>
        </w:rPr>
        <w:t xml:space="preserve">6.3 Personal Social Media Use</w:t>
      </w:r>
    </w:p>
    <w:p>
      <w:pPr>
        <w:spacing w:after="120" w:before="0"/>
      </w:pPr>
      <w:r>
        <w:rPr>
          <w:rFonts w:ascii="Arial" w:cs="Arial" w:eastAsia="Arial" w:hAnsi="Arial"/>
          <w:color w:val="1A1A2E"/>
          <w:sz w:val="20"/>
          <w:szCs w:val="20"/>
        </w:rPr>
        <w:t xml:space="preserve">Employees are free to maintain personal social media accounts. However, the following guidelines apply:</w:t>
      </w:r>
    </w:p>
    <w:p>
      <w:pPr>
        <w:pStyle w:val="ListParagraph"/>
        <w:numPr>
          <w:ilvl w:val="0"/>
          <w:numId w:val="2"/>
        </w:numPr>
        <w:spacing w:after="80" w:before="0"/>
      </w:pPr>
      <w:r>
        <w:rPr>
          <w:rFonts w:ascii="Arial" w:cs="Arial" w:eastAsia="Arial" w:hAnsi="Arial"/>
          <w:color w:val="1A1A2E"/>
          <w:sz w:val="20"/>
          <w:szCs w:val="20"/>
        </w:rPr>
        <w:t xml:space="preserve">Do not disclose confidential, proprietary, or sensitive MGT information.</w:t>
      </w:r>
    </w:p>
    <w:p>
      <w:pPr>
        <w:pStyle w:val="ListParagraph"/>
        <w:numPr>
          <w:ilvl w:val="0"/>
          <w:numId w:val="2"/>
        </w:numPr>
        <w:spacing w:after="80" w:before="0"/>
      </w:pPr>
      <w:r>
        <w:rPr>
          <w:rFonts w:ascii="Arial" w:cs="Arial" w:eastAsia="Arial" w:hAnsi="Arial"/>
          <w:color w:val="1A1A2E"/>
          <w:sz w:val="20"/>
          <w:szCs w:val="20"/>
        </w:rPr>
        <w:t xml:space="preserve">Do not make defamatory, misleading, or offensive statements about MGT, its employees, clients, or competitors.</w:t>
      </w:r>
    </w:p>
    <w:p>
      <w:pPr>
        <w:pStyle w:val="ListParagraph"/>
        <w:numPr>
          <w:ilvl w:val="0"/>
          <w:numId w:val="2"/>
        </w:numPr>
        <w:spacing w:after="80" w:before="0"/>
      </w:pPr>
      <w:r>
        <w:rPr>
          <w:rFonts w:ascii="Arial" w:cs="Arial" w:eastAsia="Arial" w:hAnsi="Arial"/>
          <w:color w:val="1A1A2E"/>
          <w:sz w:val="20"/>
          <w:szCs w:val="20"/>
        </w:rPr>
        <w:t xml:space="preserve">If identifying yourself as an MGT employee, include a disclaimer that views expressed are personal.</w:t>
      </w:r>
    </w:p>
    <w:p>
      <w:pPr>
        <w:pStyle w:val="ListParagraph"/>
        <w:numPr>
          <w:ilvl w:val="0"/>
          <w:numId w:val="2"/>
        </w:numPr>
        <w:spacing w:after="80" w:before="0"/>
      </w:pPr>
      <w:r>
        <w:rPr>
          <w:rFonts w:ascii="Arial" w:cs="Arial" w:eastAsia="Arial" w:hAnsi="Arial"/>
          <w:color w:val="1A1A2E"/>
          <w:sz w:val="20"/>
          <w:szCs w:val="20"/>
        </w:rPr>
        <w:t xml:space="preserve">Do not engage in activities that create a conflict of interest or embarrass MGT.</w:t>
      </w:r>
    </w:p>
    <w:p>
      <w:pPr>
        <w:pStyle w:val="ListParagraph"/>
        <w:numPr>
          <w:ilvl w:val="0"/>
          <w:numId w:val="2"/>
        </w:numPr>
        <w:spacing w:after="80" w:before="0"/>
      </w:pPr>
      <w:r>
        <w:rPr>
          <w:rFonts w:ascii="Arial" w:cs="Arial" w:eastAsia="Arial" w:hAnsi="Arial"/>
          <w:color w:val="1A1A2E"/>
          <w:sz w:val="20"/>
          <w:szCs w:val="20"/>
        </w:rPr>
        <w:t xml:space="preserve">Do not share internal documents, images of workspaces, or non-public business information.</w:t>
      </w:r>
    </w:p>
    <w:p>
      <w:pPr>
        <w:pStyle w:val="Heading2"/>
        <w:spacing w:after="120" w:before="240"/>
      </w:pPr>
      <w:r>
        <w:rPr>
          <w:rFonts w:ascii="Arial" w:cs="Arial" w:eastAsia="Arial" w:hAnsi="Arial"/>
          <w:b/>
          <w:bCs/>
          <w:color w:val="1B3A6B"/>
          <w:sz w:val="26"/>
          <w:szCs w:val="26"/>
        </w:rPr>
        <w:t xml:space="preserve">6.4 During Work Hours</w:t>
      </w:r>
    </w:p>
    <w:p>
      <w:pPr>
        <w:spacing w:after="120" w:before="0"/>
      </w:pPr>
      <w:r>
        <w:rPr>
          <w:rFonts w:ascii="Arial" w:cs="Arial" w:eastAsia="Arial" w:hAnsi="Arial"/>
          <w:color w:val="1A1A2E"/>
          <w:sz w:val="20"/>
          <w:szCs w:val="20"/>
        </w:rPr>
        <w:t xml:space="preserve">Personal social media use during working hours should be minimal and must not interfere with job responsibilities, productivity, or professional obligations.</w:t>
      </w:r>
    </w:p>
    <w:p>
      <w:pPr>
        <w:pStyle w:val="Heading2"/>
        <w:spacing w:after="120" w:before="240"/>
      </w:pPr>
      <w:r>
        <w:rPr>
          <w:rFonts w:ascii="Arial" w:cs="Arial" w:eastAsia="Arial" w:hAnsi="Arial"/>
          <w:b/>
          <w:bCs/>
          <w:color w:val="1B3A6B"/>
          <w:sz w:val="26"/>
          <w:szCs w:val="26"/>
        </w:rPr>
        <w:t xml:space="preserve">6.5 Prohibited Conduct</w:t>
      </w:r>
    </w:p>
    <w:p>
      <w:pPr>
        <w:pStyle w:val="ListParagraph"/>
        <w:numPr>
          <w:ilvl w:val="0"/>
          <w:numId w:val="2"/>
        </w:numPr>
        <w:spacing w:after="80" w:before="0"/>
      </w:pPr>
      <w:r>
        <w:rPr>
          <w:rFonts w:ascii="Arial" w:cs="Arial" w:eastAsia="Arial" w:hAnsi="Arial"/>
          <w:color w:val="1A1A2E"/>
          <w:sz w:val="20"/>
          <w:szCs w:val="20"/>
        </w:rPr>
        <w:t xml:space="preserve">Sharing confidential client or business information on any platform.</w:t>
      </w:r>
    </w:p>
    <w:p>
      <w:pPr>
        <w:pStyle w:val="ListParagraph"/>
        <w:numPr>
          <w:ilvl w:val="0"/>
          <w:numId w:val="2"/>
        </w:numPr>
        <w:spacing w:after="80" w:before="0"/>
      </w:pPr>
      <w:r>
        <w:rPr>
          <w:rFonts w:ascii="Arial" w:cs="Arial" w:eastAsia="Arial" w:hAnsi="Arial"/>
          <w:color w:val="1A1A2E"/>
          <w:sz w:val="20"/>
          <w:szCs w:val="20"/>
        </w:rPr>
        <w:t xml:space="preserve">Publishing content that constitutes harassment, discrimination, or bullying.</w:t>
      </w:r>
    </w:p>
    <w:p>
      <w:pPr>
        <w:pStyle w:val="ListParagraph"/>
        <w:numPr>
          <w:ilvl w:val="0"/>
          <w:numId w:val="2"/>
        </w:numPr>
        <w:spacing w:after="80" w:before="0"/>
      </w:pPr>
      <w:r>
        <w:rPr>
          <w:rFonts w:ascii="Arial" w:cs="Arial" w:eastAsia="Arial" w:hAnsi="Arial"/>
          <w:color w:val="1A1A2E"/>
          <w:sz w:val="20"/>
          <w:szCs w:val="20"/>
        </w:rPr>
        <w:t xml:space="preserve">Impersonating MGT or its representatives.</w:t>
      </w:r>
    </w:p>
    <w:p>
      <w:pPr>
        <w:pStyle w:val="ListParagraph"/>
        <w:numPr>
          <w:ilvl w:val="0"/>
          <w:numId w:val="2"/>
        </w:numPr>
        <w:spacing w:after="80" w:before="0"/>
      </w:pPr>
      <w:r>
        <w:rPr>
          <w:rFonts w:ascii="Arial" w:cs="Arial" w:eastAsia="Arial" w:hAnsi="Arial"/>
          <w:color w:val="1A1A2E"/>
          <w:sz w:val="20"/>
          <w:szCs w:val="20"/>
        </w:rPr>
        <w:t xml:space="preserve">Making unauthorised claims about MGT's products, services, or positions.</w:t>
      </w:r>
    </w:p>
    <w:p>
      <w:pPr>
        <w:pStyle w:val="Heading2"/>
        <w:spacing w:after="120" w:before="240"/>
      </w:pPr>
      <w:r>
        <w:rPr>
          <w:rFonts w:ascii="Arial" w:cs="Arial" w:eastAsia="Arial" w:hAnsi="Arial"/>
          <w:b/>
          <w:bCs/>
          <w:color w:val="1B3A6B"/>
          <w:sz w:val="26"/>
          <w:szCs w:val="26"/>
        </w:rPr>
        <w:t xml:space="preserve">6.6 Monitoring</w:t>
      </w:r>
    </w:p>
    <w:p>
      <w:pPr>
        <w:spacing w:after="120" w:before="0"/>
      </w:pPr>
      <w:r>
        <w:rPr>
          <w:rFonts w:ascii="Arial" w:cs="Arial" w:eastAsia="Arial" w:hAnsi="Arial"/>
          <w:color w:val="1A1A2E"/>
          <w:sz w:val="20"/>
          <w:szCs w:val="20"/>
        </w:rPr>
        <w:t xml:space="preserve">MGT reserves the right to monitor official company accounts at all times. Employees should be aware that publicly posted content may be viewed by colleagues, clients, and management.</w:t>
      </w:r>
    </w:p>
    <w:p>
      <w:pPr>
        <w:pStyle w:val="Heading2"/>
        <w:spacing w:after="120" w:before="240"/>
      </w:pPr>
      <w:r>
        <w:rPr>
          <w:rFonts w:ascii="Arial" w:cs="Arial" w:eastAsia="Arial" w:hAnsi="Arial"/>
          <w:b/>
          <w:bCs/>
          <w:color w:val="1B3A6B"/>
          <w:sz w:val="26"/>
          <w:szCs w:val="26"/>
        </w:rPr>
        <w:t xml:space="preserve">6.7 Violations</w:t>
      </w:r>
    </w:p>
    <w:p>
      <w:pPr>
        <w:spacing w:after="120" w:before="0"/>
      </w:pPr>
      <w:r>
        <w:rPr>
          <w:rFonts w:ascii="Arial" w:cs="Arial" w:eastAsia="Arial" w:hAnsi="Arial"/>
          <w:color w:val="1A1A2E"/>
          <w:sz w:val="20"/>
          <w:szCs w:val="20"/>
        </w:rPr>
        <w:t xml:space="preserve">Violations of this policy may result in disciplinary action, up to and including dismissal, particularly where confidential information is disclosed or reputational harm is caused.</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07</w:t>
            </w:r>
          </w:p>
          <w:p>
            <w:pPr>
              <w:spacing w:after="0" w:before="0"/>
            </w:pPr>
            <w:r>
              <w:rPr>
                <w:rFonts w:ascii="Arial" w:cs="Arial" w:eastAsia="Arial" w:hAnsi="Arial"/>
                <w:b/>
                <w:bCs/>
                <w:color w:val="FFFFFF"/>
                <w:sz w:val="32"/>
                <w:szCs w:val="32"/>
              </w:rPr>
              <w:t xml:space="preserve">Remote Work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HR /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in eligible roles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7.1 Purpose</w:t>
      </w:r>
    </w:p>
    <w:p>
      <w:pPr>
        <w:spacing w:after="120" w:before="0"/>
      </w:pPr>
      <w:r>
        <w:rPr>
          <w:rFonts w:ascii="Arial" w:cs="Arial" w:eastAsia="Arial" w:hAnsi="Arial"/>
          <w:color w:val="1A1A2E"/>
          <w:sz w:val="20"/>
          <w:szCs w:val="20"/>
        </w:rPr>
        <w:t xml:space="preserve">This policy establishes the framework under which MGT employees may work remotely, ensuring productivity, data security, and team cohesion are maintained regardless of physical work location.</w:t>
      </w:r>
    </w:p>
    <w:p>
      <w:pPr>
        <w:pStyle w:val="Heading2"/>
        <w:spacing w:after="120" w:before="240"/>
      </w:pPr>
      <w:r>
        <w:rPr>
          <w:rFonts w:ascii="Arial" w:cs="Arial" w:eastAsia="Arial" w:hAnsi="Arial"/>
          <w:b/>
          <w:bCs/>
          <w:color w:val="1B3A6B"/>
          <w:sz w:val="26"/>
          <w:szCs w:val="26"/>
        </w:rPr>
        <w:t xml:space="preserve">7.2 Eligibility</w:t>
      </w:r>
    </w:p>
    <w:p>
      <w:pPr>
        <w:spacing w:after="120" w:before="0"/>
      </w:pPr>
      <w:r>
        <w:rPr>
          <w:rFonts w:ascii="Arial" w:cs="Arial" w:eastAsia="Arial" w:hAnsi="Arial"/>
          <w:color w:val="1A1A2E"/>
          <w:sz w:val="20"/>
          <w:szCs w:val="20"/>
        </w:rPr>
        <w:t xml:space="preserve">Remote work is available to employees whose roles do not require continuous on-site presence and whose performance history supports the arrangement. Eligibility is determined by HR in consultation with the employee's line manager.</w:t>
      </w:r>
    </w:p>
    <w:p>
      <w:pPr>
        <w:pStyle w:val="Heading2"/>
        <w:spacing w:after="120" w:before="240"/>
      </w:pPr>
      <w:r>
        <w:rPr>
          <w:rFonts w:ascii="Arial" w:cs="Arial" w:eastAsia="Arial" w:hAnsi="Arial"/>
          <w:b/>
          <w:bCs/>
          <w:color w:val="1B3A6B"/>
          <w:sz w:val="26"/>
          <w:szCs w:val="26"/>
        </w:rPr>
        <w:t xml:space="preserve">7.3 Remote Work Arrangements</w:t>
      </w:r>
    </w:p>
    <w:p>
      <w:pPr>
        <w:pStyle w:val="ListParagraph"/>
        <w:numPr>
          <w:ilvl w:val="0"/>
          <w:numId w:val="2"/>
        </w:numPr>
        <w:spacing w:after="80" w:before="0"/>
      </w:pPr>
      <w:r>
        <w:rPr>
          <w:rFonts w:ascii="Arial" w:cs="Arial" w:eastAsia="Arial" w:hAnsi="Arial"/>
          <w:color w:val="1A1A2E"/>
          <w:sz w:val="20"/>
          <w:szCs w:val="20"/>
        </w:rPr>
        <w:t xml:space="preserve">Full-time remote, hybrid (specified split), or ad-hoc remote arrangements may be approved.</w:t>
      </w:r>
    </w:p>
    <w:p>
      <w:pPr>
        <w:pStyle w:val="ListParagraph"/>
        <w:numPr>
          <w:ilvl w:val="0"/>
          <w:numId w:val="2"/>
        </w:numPr>
        <w:spacing w:after="80" w:before="0"/>
      </w:pPr>
      <w:r>
        <w:rPr>
          <w:rFonts w:ascii="Arial" w:cs="Arial" w:eastAsia="Arial" w:hAnsi="Arial"/>
          <w:color w:val="1A1A2E"/>
          <w:sz w:val="20"/>
          <w:szCs w:val="20"/>
        </w:rPr>
        <w:t xml:space="preserve">Arrangements must be formalised in a Remote Work Agreement signed by the employee and their manager.</w:t>
      </w:r>
    </w:p>
    <w:p>
      <w:pPr>
        <w:pStyle w:val="ListParagraph"/>
        <w:numPr>
          <w:ilvl w:val="0"/>
          <w:numId w:val="2"/>
        </w:numPr>
        <w:spacing w:after="80" w:before="0"/>
      </w:pPr>
      <w:r>
        <w:rPr>
          <w:rFonts w:ascii="Arial" w:cs="Arial" w:eastAsia="Arial" w:hAnsi="Arial"/>
          <w:color w:val="1A1A2E"/>
          <w:sz w:val="20"/>
          <w:szCs w:val="20"/>
        </w:rPr>
        <w:t xml:space="preserve">Approved arrangements will be reviewed every 6 months.</w:t>
      </w:r>
    </w:p>
    <w:p>
      <w:pPr>
        <w:pStyle w:val="Heading2"/>
        <w:spacing w:after="120" w:before="240"/>
      </w:pPr>
      <w:r>
        <w:rPr>
          <w:rFonts w:ascii="Arial" w:cs="Arial" w:eastAsia="Arial" w:hAnsi="Arial"/>
          <w:b/>
          <w:bCs/>
          <w:color w:val="1B3A6B"/>
          <w:sz w:val="26"/>
          <w:szCs w:val="26"/>
        </w:rPr>
        <w:t xml:space="preserve">7.4 Workspace Requirements</w:t>
      </w:r>
    </w:p>
    <w:p>
      <w:pPr>
        <w:pStyle w:val="ListParagraph"/>
        <w:numPr>
          <w:ilvl w:val="0"/>
          <w:numId w:val="2"/>
        </w:numPr>
        <w:spacing w:after="80" w:before="0"/>
      </w:pPr>
      <w:r>
        <w:rPr>
          <w:rFonts w:ascii="Arial" w:cs="Arial" w:eastAsia="Arial" w:hAnsi="Arial"/>
          <w:color w:val="1A1A2E"/>
          <w:sz w:val="20"/>
          <w:szCs w:val="20"/>
        </w:rPr>
        <w:t xml:space="preserve">Employees must maintain a dedicated, ergonomic, and distraction-minimised workspace.</w:t>
      </w:r>
    </w:p>
    <w:p>
      <w:pPr>
        <w:pStyle w:val="ListParagraph"/>
        <w:numPr>
          <w:ilvl w:val="0"/>
          <w:numId w:val="2"/>
        </w:numPr>
        <w:spacing w:after="80" w:before="0"/>
      </w:pPr>
      <w:r>
        <w:rPr>
          <w:rFonts w:ascii="Arial" w:cs="Arial" w:eastAsia="Arial" w:hAnsi="Arial"/>
          <w:color w:val="1A1A2E"/>
          <w:sz w:val="20"/>
          <w:szCs w:val="20"/>
        </w:rPr>
        <w:t xml:space="preserve">The workspace must have a reliable, secure internet connection.</w:t>
      </w:r>
    </w:p>
    <w:p>
      <w:pPr>
        <w:pStyle w:val="ListParagraph"/>
        <w:numPr>
          <w:ilvl w:val="0"/>
          <w:numId w:val="2"/>
        </w:numPr>
        <w:spacing w:after="80" w:before="0"/>
      </w:pPr>
      <w:r>
        <w:rPr>
          <w:rFonts w:ascii="Arial" w:cs="Arial" w:eastAsia="Arial" w:hAnsi="Arial"/>
          <w:color w:val="1A1A2E"/>
          <w:sz w:val="20"/>
          <w:szCs w:val="20"/>
        </w:rPr>
        <w:t xml:space="preserve">Home workspaces must be reasonably private during confidential conversations or video meetings.</w:t>
      </w:r>
    </w:p>
    <w:p>
      <w:pPr>
        <w:pStyle w:val="ListParagraph"/>
        <w:numPr>
          <w:ilvl w:val="0"/>
          <w:numId w:val="2"/>
        </w:numPr>
        <w:spacing w:after="80" w:before="0"/>
      </w:pPr>
      <w:r>
        <w:rPr>
          <w:rFonts w:ascii="Arial" w:cs="Arial" w:eastAsia="Arial" w:hAnsi="Arial"/>
          <w:color w:val="1A1A2E"/>
          <w:sz w:val="20"/>
          <w:szCs w:val="20"/>
        </w:rPr>
        <w:t xml:space="preserve">MGT may conduct virtual workspace assessments to verify compliance with safety and security standards.</w:t>
      </w:r>
    </w:p>
    <w:p>
      <w:pPr>
        <w:pStyle w:val="Heading2"/>
        <w:spacing w:after="120" w:before="240"/>
      </w:pPr>
      <w:r>
        <w:rPr>
          <w:rFonts w:ascii="Arial" w:cs="Arial" w:eastAsia="Arial" w:hAnsi="Arial"/>
          <w:b/>
          <w:bCs/>
          <w:color w:val="1B3A6B"/>
          <w:sz w:val="26"/>
          <w:szCs w:val="26"/>
        </w:rPr>
        <w:t xml:space="preserve">7.5 Equipment &amp; Technology</w:t>
      </w:r>
    </w:p>
    <w:p>
      <w:pPr>
        <w:pStyle w:val="ListParagraph"/>
        <w:numPr>
          <w:ilvl w:val="0"/>
          <w:numId w:val="2"/>
        </w:numPr>
        <w:spacing w:after="80" w:before="0"/>
      </w:pPr>
      <w:r>
        <w:rPr>
          <w:rFonts w:ascii="Arial" w:cs="Arial" w:eastAsia="Arial" w:hAnsi="Arial"/>
          <w:color w:val="1A1A2E"/>
          <w:sz w:val="20"/>
          <w:szCs w:val="20"/>
        </w:rPr>
        <w:t xml:space="preserve">MGT will provide standard-issue equipment (laptop, peripherals) for remote work.</w:t>
      </w:r>
    </w:p>
    <w:p>
      <w:pPr>
        <w:pStyle w:val="ListParagraph"/>
        <w:numPr>
          <w:ilvl w:val="0"/>
          <w:numId w:val="2"/>
        </w:numPr>
        <w:spacing w:after="80" w:before="0"/>
      </w:pPr>
      <w:r>
        <w:rPr>
          <w:rFonts w:ascii="Arial" w:cs="Arial" w:eastAsia="Arial" w:hAnsi="Arial"/>
          <w:color w:val="1A1A2E"/>
          <w:sz w:val="20"/>
          <w:szCs w:val="20"/>
        </w:rPr>
        <w:t xml:space="preserve">Use of personal devices must be approved and must comply with the IT Security Policy.</w:t>
      </w:r>
    </w:p>
    <w:p>
      <w:pPr>
        <w:pStyle w:val="ListParagraph"/>
        <w:numPr>
          <w:ilvl w:val="0"/>
          <w:numId w:val="2"/>
        </w:numPr>
        <w:spacing w:after="80" w:before="0"/>
      </w:pPr>
      <w:r>
        <w:rPr>
          <w:rFonts w:ascii="Arial" w:cs="Arial" w:eastAsia="Arial" w:hAnsi="Arial"/>
          <w:color w:val="1A1A2E"/>
          <w:sz w:val="20"/>
          <w:szCs w:val="20"/>
        </w:rPr>
        <w:t xml:space="preserve">Employees are responsible for the safe custody of company equipment at home.</w:t>
      </w:r>
    </w:p>
    <w:p>
      <w:pPr>
        <w:pStyle w:val="ListParagraph"/>
        <w:numPr>
          <w:ilvl w:val="0"/>
          <w:numId w:val="2"/>
        </w:numPr>
        <w:spacing w:after="80" w:before="0"/>
      </w:pPr>
      <w:r>
        <w:rPr>
          <w:rFonts w:ascii="Arial" w:cs="Arial" w:eastAsia="Arial" w:hAnsi="Arial"/>
          <w:color w:val="1A1A2E"/>
          <w:sz w:val="20"/>
          <w:szCs w:val="20"/>
        </w:rPr>
        <w:t xml:space="preserve">Damage, loss, or theft of equipment must be reported to IT within 24 hours.</w:t>
      </w:r>
    </w:p>
    <w:p>
      <w:pPr>
        <w:pStyle w:val="Heading2"/>
        <w:spacing w:after="120" w:before="240"/>
      </w:pPr>
      <w:r>
        <w:rPr>
          <w:rFonts w:ascii="Arial" w:cs="Arial" w:eastAsia="Arial" w:hAnsi="Arial"/>
          <w:b/>
          <w:bCs/>
          <w:color w:val="1B3A6B"/>
          <w:sz w:val="26"/>
          <w:szCs w:val="26"/>
        </w:rPr>
        <w:t xml:space="preserve">7.6 Availability &amp; Communication</w:t>
      </w:r>
    </w:p>
    <w:p>
      <w:pPr>
        <w:pStyle w:val="ListParagraph"/>
        <w:numPr>
          <w:ilvl w:val="0"/>
          <w:numId w:val="2"/>
        </w:numPr>
        <w:spacing w:after="80" w:before="0"/>
      </w:pPr>
      <w:r>
        <w:rPr>
          <w:rFonts w:ascii="Arial" w:cs="Arial" w:eastAsia="Arial" w:hAnsi="Arial"/>
          <w:color w:val="1A1A2E"/>
          <w:sz w:val="20"/>
          <w:szCs w:val="20"/>
        </w:rPr>
        <w:t xml:space="preserve">Remote employees must be available during their contracted work hours.</w:t>
      </w:r>
    </w:p>
    <w:p>
      <w:pPr>
        <w:pStyle w:val="ListParagraph"/>
        <w:numPr>
          <w:ilvl w:val="0"/>
          <w:numId w:val="2"/>
        </w:numPr>
        <w:spacing w:after="80" w:before="0"/>
      </w:pPr>
      <w:r>
        <w:rPr>
          <w:rFonts w:ascii="Arial" w:cs="Arial" w:eastAsia="Arial" w:hAnsi="Arial"/>
          <w:color w:val="1A1A2E"/>
          <w:sz w:val="20"/>
          <w:szCs w:val="20"/>
        </w:rPr>
        <w:t xml:space="preserve">Employees must attend all required virtual meetings and respond to communications promptly.</w:t>
      </w:r>
    </w:p>
    <w:p>
      <w:pPr>
        <w:pStyle w:val="ListParagraph"/>
        <w:numPr>
          <w:ilvl w:val="0"/>
          <w:numId w:val="2"/>
        </w:numPr>
        <w:spacing w:after="80" w:before="0"/>
      </w:pPr>
      <w:r>
        <w:rPr>
          <w:rFonts w:ascii="Arial" w:cs="Arial" w:eastAsia="Arial" w:hAnsi="Arial"/>
          <w:color w:val="1A1A2E"/>
          <w:sz w:val="20"/>
          <w:szCs w:val="20"/>
        </w:rPr>
        <w:t xml:space="preserve">Any changes to availability must be communicated to the line manager in advance.</w:t>
      </w:r>
    </w:p>
    <w:p>
      <w:pPr>
        <w:pStyle w:val="Heading2"/>
        <w:spacing w:after="120" w:before="240"/>
      </w:pPr>
      <w:r>
        <w:rPr>
          <w:rFonts w:ascii="Arial" w:cs="Arial" w:eastAsia="Arial" w:hAnsi="Arial"/>
          <w:b/>
          <w:bCs/>
          <w:color w:val="1B3A6B"/>
          <w:sz w:val="26"/>
          <w:szCs w:val="26"/>
        </w:rPr>
        <w:t xml:space="preserve">7.7 Data Security</w:t>
      </w:r>
    </w:p>
    <w:p>
      <w:pPr>
        <w:pStyle w:val="ListParagraph"/>
        <w:numPr>
          <w:ilvl w:val="0"/>
          <w:numId w:val="2"/>
        </w:numPr>
        <w:spacing w:after="80" w:before="0"/>
      </w:pPr>
      <w:r>
        <w:rPr>
          <w:rFonts w:ascii="Arial" w:cs="Arial" w:eastAsia="Arial" w:hAnsi="Arial"/>
          <w:color w:val="1A1A2E"/>
          <w:sz w:val="20"/>
          <w:szCs w:val="20"/>
        </w:rPr>
        <w:t xml:space="preserve">All remote work must comply with MGT's Data Protection Policy (Policy 05).</w:t>
      </w:r>
    </w:p>
    <w:p>
      <w:pPr>
        <w:pStyle w:val="ListParagraph"/>
        <w:numPr>
          <w:ilvl w:val="0"/>
          <w:numId w:val="2"/>
        </w:numPr>
        <w:spacing w:after="80" w:before="0"/>
      </w:pPr>
      <w:r>
        <w:rPr>
          <w:rFonts w:ascii="Arial" w:cs="Arial" w:eastAsia="Arial" w:hAnsi="Arial"/>
          <w:color w:val="1A1A2E"/>
          <w:sz w:val="20"/>
          <w:szCs w:val="20"/>
        </w:rPr>
        <w:t xml:space="preserve">Employees must use a VPN when accessing company systems remotely.</w:t>
      </w:r>
    </w:p>
    <w:p>
      <w:pPr>
        <w:pStyle w:val="ListParagraph"/>
        <w:numPr>
          <w:ilvl w:val="0"/>
          <w:numId w:val="2"/>
        </w:numPr>
        <w:spacing w:after="80" w:before="0"/>
      </w:pPr>
      <w:r>
        <w:rPr>
          <w:rFonts w:ascii="Arial" w:cs="Arial" w:eastAsia="Arial" w:hAnsi="Arial"/>
          <w:color w:val="1A1A2E"/>
          <w:sz w:val="20"/>
          <w:szCs w:val="20"/>
        </w:rPr>
        <w:t xml:space="preserve">Confidential documents must never be printed to unsecured home printers.</w:t>
      </w:r>
    </w:p>
    <w:p>
      <w:pPr>
        <w:pStyle w:val="ListParagraph"/>
        <w:numPr>
          <w:ilvl w:val="0"/>
          <w:numId w:val="2"/>
        </w:numPr>
        <w:spacing w:after="80" w:before="0"/>
      </w:pPr>
      <w:r>
        <w:rPr>
          <w:rFonts w:ascii="Arial" w:cs="Arial" w:eastAsia="Arial" w:hAnsi="Arial"/>
          <w:color w:val="1A1A2E"/>
          <w:sz w:val="20"/>
          <w:szCs w:val="20"/>
        </w:rPr>
        <w:t xml:space="preserve">Public Wi-Fi networks must not be used for company work without an active VPN.</w:t>
      </w:r>
    </w:p>
    <w:p>
      <w:pPr>
        <w:pStyle w:val="Heading2"/>
        <w:spacing w:after="120" w:before="240"/>
      </w:pPr>
      <w:r>
        <w:rPr>
          <w:rFonts w:ascii="Arial" w:cs="Arial" w:eastAsia="Arial" w:hAnsi="Arial"/>
          <w:b/>
          <w:bCs/>
          <w:color w:val="1B3A6B"/>
          <w:sz w:val="26"/>
          <w:szCs w:val="26"/>
        </w:rPr>
        <w:t xml:space="preserve">7.8 Performance Management</w:t>
      </w:r>
    </w:p>
    <w:p>
      <w:pPr>
        <w:spacing w:after="120" w:before="0"/>
      </w:pPr>
      <w:r>
        <w:rPr>
          <w:rFonts w:ascii="Arial" w:cs="Arial" w:eastAsia="Arial" w:hAnsi="Arial"/>
          <w:color w:val="1A1A2E"/>
          <w:sz w:val="20"/>
          <w:szCs w:val="20"/>
        </w:rPr>
        <w:t xml:space="preserve">Remote employees are subject to the same performance standards and management processes as on-site employees. Remote work is a privilege, not a right, and may be withdrawn if performance or conduct standards are not maintained.</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08</w:t>
            </w:r>
          </w:p>
          <w:p>
            <w:pPr>
              <w:spacing w:after="0" w:before="0"/>
            </w:pPr>
            <w:r>
              <w:rPr>
                <w:rFonts w:ascii="Arial" w:cs="Arial" w:eastAsia="Arial" w:hAnsi="Arial"/>
                <w:b/>
                <w:bCs/>
                <w:color w:val="FFFFFF"/>
                <w:sz w:val="32"/>
                <w:szCs w:val="32"/>
              </w:rPr>
              <w:t xml:space="preserve">Expense Reimbursement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MGT-FIN-001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Finance / 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incurring business expenses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8.1 Purpose</w:t>
      </w:r>
    </w:p>
    <w:p>
      <w:pPr>
        <w:spacing w:after="120" w:before="0"/>
      </w:pPr>
      <w:r>
        <w:rPr>
          <w:rFonts w:ascii="Arial" w:cs="Arial" w:eastAsia="Arial" w:hAnsi="Arial"/>
          <w:color w:val="1A1A2E"/>
          <w:sz w:val="20"/>
          <w:szCs w:val="20"/>
        </w:rPr>
        <w:t xml:space="preserve">This policy outlines the conditions under which MGT will reimburse employees for reasonable and necessary business expenses incurred in the performance of their duties.</w:t>
      </w:r>
    </w:p>
    <w:p>
      <w:pPr>
        <w:pStyle w:val="Heading2"/>
        <w:spacing w:after="120" w:before="240"/>
      </w:pPr>
      <w:r>
        <w:rPr>
          <w:rFonts w:ascii="Arial" w:cs="Arial" w:eastAsia="Arial" w:hAnsi="Arial"/>
          <w:b/>
          <w:bCs/>
          <w:color w:val="1B3A6B"/>
          <w:sz w:val="26"/>
          <w:szCs w:val="26"/>
        </w:rPr>
        <w:t xml:space="preserve">8.2 General Principles</w:t>
      </w:r>
    </w:p>
    <w:p>
      <w:pPr>
        <w:pStyle w:val="ListParagraph"/>
        <w:numPr>
          <w:ilvl w:val="0"/>
          <w:numId w:val="2"/>
        </w:numPr>
        <w:spacing w:after="80" w:before="0"/>
      </w:pPr>
      <w:r>
        <w:rPr>
          <w:rFonts w:ascii="Arial" w:cs="Arial" w:eastAsia="Arial" w:hAnsi="Arial"/>
          <w:color w:val="1A1A2E"/>
          <w:sz w:val="20"/>
          <w:szCs w:val="20"/>
        </w:rPr>
        <w:t xml:space="preserve">All expenditure must be reasonable, necessary, and incurred solely for legitimate business purposes.</w:t>
      </w:r>
    </w:p>
    <w:p>
      <w:pPr>
        <w:pStyle w:val="ListParagraph"/>
        <w:numPr>
          <w:ilvl w:val="0"/>
          <w:numId w:val="2"/>
        </w:numPr>
        <w:spacing w:after="80" w:before="0"/>
      </w:pPr>
      <w:r>
        <w:rPr>
          <w:rFonts w:ascii="Arial" w:cs="Arial" w:eastAsia="Arial" w:hAnsi="Arial"/>
          <w:color w:val="1A1A2E"/>
          <w:sz w:val="20"/>
          <w:szCs w:val="20"/>
        </w:rPr>
        <w:t xml:space="preserve">Prior approval must be obtained for expenses exceeding defined thresholds.</w:t>
      </w:r>
    </w:p>
    <w:p>
      <w:pPr>
        <w:pStyle w:val="ListParagraph"/>
        <w:numPr>
          <w:ilvl w:val="0"/>
          <w:numId w:val="2"/>
        </w:numPr>
        <w:spacing w:after="80" w:before="0"/>
      </w:pPr>
      <w:r>
        <w:rPr>
          <w:rFonts w:ascii="Arial" w:cs="Arial" w:eastAsia="Arial" w:hAnsi="Arial"/>
          <w:color w:val="1A1A2E"/>
          <w:sz w:val="20"/>
          <w:szCs w:val="20"/>
        </w:rPr>
        <w:t xml:space="preserve">Personal expenses will not be reimbursed under any circumstances.</w:t>
      </w:r>
    </w:p>
    <w:p>
      <w:pPr>
        <w:pStyle w:val="ListParagraph"/>
        <w:numPr>
          <w:ilvl w:val="0"/>
          <w:numId w:val="2"/>
        </w:numPr>
        <w:spacing w:after="80" w:before="0"/>
      </w:pPr>
      <w:r>
        <w:rPr>
          <w:rFonts w:ascii="Arial" w:cs="Arial" w:eastAsia="Arial" w:hAnsi="Arial"/>
          <w:color w:val="1A1A2E"/>
          <w:sz w:val="20"/>
          <w:szCs w:val="20"/>
        </w:rPr>
        <w:t xml:space="preserve">Reimbursement claims must be submitted within 30 calendar days of the expense being incurred.</w:t>
      </w:r>
    </w:p>
    <w:p>
      <w:pPr>
        <w:pStyle w:val="Heading2"/>
        <w:spacing w:after="120" w:before="240"/>
      </w:pPr>
      <w:r>
        <w:rPr>
          <w:rFonts w:ascii="Arial" w:cs="Arial" w:eastAsia="Arial" w:hAnsi="Arial"/>
          <w:b/>
          <w:bCs/>
          <w:color w:val="1B3A6B"/>
          <w:sz w:val="26"/>
          <w:szCs w:val="26"/>
        </w:rPr>
        <w:t xml:space="preserve">8.3 Claimable Expense Categories</w:t>
      </w:r>
    </w:p>
    <w:p>
      <w:pPr>
        <w:spacing w:after="120" w:before="0"/>
      </w:pPr>
      <w:r>
        <w:rPr>
          <w:rFonts w:ascii="Arial" w:cs="Arial" w:eastAsia="Arial" w:hAnsi="Arial"/>
          <w:color w:val="1A1A2E"/>
          <w:sz w:val="20"/>
          <w:szCs w:val="20"/>
        </w:rPr>
        <w:t xml:space="preserve">The following categories of expenditure are reimbursable, subject to policy limits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Limit per Occurrence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Meals (business)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R350 per person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Accommodation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R1,500 per night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Manager + Finance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transport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Actual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Air travel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Economy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Senior Manager + Finance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Training materials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R2,000 per event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entertainment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R500 per person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Manager + Finance</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8.4 Claims Procedure</w:t>
      </w:r>
    </w:p>
    <w:p>
      <w:pPr>
        <w:pStyle w:val="ListParagraph"/>
        <w:numPr>
          <w:ilvl w:val="0"/>
          <w:numId w:val="3"/>
        </w:numPr>
        <w:spacing w:after="80" w:before="0"/>
      </w:pPr>
      <w:r>
        <w:rPr>
          <w:rFonts w:ascii="Arial" w:cs="Arial" w:eastAsia="Arial" w:hAnsi="Arial"/>
          <w:color w:val="1A1A2E"/>
          <w:sz w:val="20"/>
          <w:szCs w:val="20"/>
        </w:rPr>
        <w:t xml:space="preserve">Complete the Expense Claim Form (ECF-001), available on the HR intranet.</w:t>
      </w:r>
    </w:p>
    <w:p>
      <w:pPr>
        <w:pStyle w:val="ListParagraph"/>
        <w:numPr>
          <w:ilvl w:val="0"/>
          <w:numId w:val="3"/>
        </w:numPr>
        <w:spacing w:after="80" w:before="0"/>
      </w:pPr>
      <w:r>
        <w:rPr>
          <w:rFonts w:ascii="Arial" w:cs="Arial" w:eastAsia="Arial" w:hAnsi="Arial"/>
          <w:color w:val="1A1A2E"/>
          <w:sz w:val="20"/>
          <w:szCs w:val="20"/>
        </w:rPr>
        <w:t xml:space="preserve">Attach all original receipts or valid proof of payment.</w:t>
      </w:r>
    </w:p>
    <w:p>
      <w:pPr>
        <w:pStyle w:val="ListParagraph"/>
        <w:numPr>
          <w:ilvl w:val="0"/>
          <w:numId w:val="3"/>
        </w:numPr>
        <w:spacing w:after="80" w:before="0"/>
      </w:pPr>
      <w:r>
        <w:rPr>
          <w:rFonts w:ascii="Arial" w:cs="Arial" w:eastAsia="Arial" w:hAnsi="Arial"/>
          <w:color w:val="1A1A2E"/>
          <w:sz w:val="20"/>
          <w:szCs w:val="20"/>
        </w:rPr>
        <w:t xml:space="preserve">Obtain your line manager's digital or physical signature.</w:t>
      </w:r>
    </w:p>
    <w:p>
      <w:pPr>
        <w:pStyle w:val="ListParagraph"/>
        <w:numPr>
          <w:ilvl w:val="0"/>
          <w:numId w:val="3"/>
        </w:numPr>
        <w:spacing w:after="80" w:before="0"/>
      </w:pPr>
      <w:r>
        <w:rPr>
          <w:rFonts w:ascii="Arial" w:cs="Arial" w:eastAsia="Arial" w:hAnsi="Arial"/>
          <w:color w:val="1A1A2E"/>
          <w:sz w:val="20"/>
          <w:szCs w:val="20"/>
        </w:rPr>
        <w:t xml:space="preserve">Submit to Finance by the 25th of each month for same-month reimbursement.</w:t>
      </w:r>
    </w:p>
    <w:p>
      <w:pPr>
        <w:pStyle w:val="ListParagraph"/>
        <w:numPr>
          <w:ilvl w:val="0"/>
          <w:numId w:val="3"/>
        </w:numPr>
        <w:spacing w:after="80" w:before="0"/>
      </w:pPr>
      <w:r>
        <w:rPr>
          <w:rFonts w:ascii="Arial" w:cs="Arial" w:eastAsia="Arial" w:hAnsi="Arial"/>
          <w:color w:val="1A1A2E"/>
          <w:sz w:val="20"/>
          <w:szCs w:val="20"/>
        </w:rPr>
        <w:t xml:space="preserve">Finance will process approved claims within 5 working days.</w:t>
      </w:r>
    </w:p>
    <w:p>
      <w:pPr>
        <w:pStyle w:val="Heading2"/>
        <w:spacing w:after="120" w:before="240"/>
      </w:pPr>
      <w:r>
        <w:rPr>
          <w:rFonts w:ascii="Arial" w:cs="Arial" w:eastAsia="Arial" w:hAnsi="Arial"/>
          <w:b/>
          <w:bCs/>
          <w:color w:val="1B3A6B"/>
          <w:sz w:val="26"/>
          <w:szCs w:val="26"/>
        </w:rPr>
        <w:t xml:space="preserve">8.5 Non-Reimbursable Expenses</w:t>
      </w:r>
    </w:p>
    <w:p>
      <w:pPr>
        <w:pStyle w:val="ListParagraph"/>
        <w:numPr>
          <w:ilvl w:val="0"/>
          <w:numId w:val="2"/>
        </w:numPr>
        <w:spacing w:after="80" w:before="0"/>
      </w:pPr>
      <w:r>
        <w:rPr>
          <w:rFonts w:ascii="Arial" w:cs="Arial" w:eastAsia="Arial" w:hAnsi="Arial"/>
          <w:color w:val="1A1A2E"/>
          <w:sz w:val="20"/>
          <w:szCs w:val="20"/>
        </w:rPr>
        <w:t xml:space="preserve">Personal groceries, clothing, or non-business entertainment.</w:t>
      </w:r>
    </w:p>
    <w:p>
      <w:pPr>
        <w:pStyle w:val="ListParagraph"/>
        <w:numPr>
          <w:ilvl w:val="0"/>
          <w:numId w:val="2"/>
        </w:numPr>
        <w:spacing w:after="80" w:before="0"/>
      </w:pPr>
      <w:r>
        <w:rPr>
          <w:rFonts w:ascii="Arial" w:cs="Arial" w:eastAsia="Arial" w:hAnsi="Arial"/>
          <w:color w:val="1A1A2E"/>
          <w:sz w:val="20"/>
          <w:szCs w:val="20"/>
        </w:rPr>
        <w:t xml:space="preserve">Traffic fines or parking violations.</w:t>
      </w:r>
    </w:p>
    <w:p>
      <w:pPr>
        <w:pStyle w:val="ListParagraph"/>
        <w:numPr>
          <w:ilvl w:val="0"/>
          <w:numId w:val="2"/>
        </w:numPr>
        <w:spacing w:after="80" w:before="0"/>
      </w:pPr>
      <w:r>
        <w:rPr>
          <w:rFonts w:ascii="Arial" w:cs="Arial" w:eastAsia="Arial" w:hAnsi="Arial"/>
          <w:color w:val="1A1A2E"/>
          <w:sz w:val="20"/>
          <w:szCs w:val="20"/>
        </w:rPr>
        <w:t xml:space="preserve">Expenses incurred outside of approved business travel.</w:t>
      </w:r>
    </w:p>
    <w:p>
      <w:pPr>
        <w:pStyle w:val="ListParagraph"/>
        <w:numPr>
          <w:ilvl w:val="0"/>
          <w:numId w:val="2"/>
        </w:numPr>
        <w:spacing w:after="80" w:before="0"/>
      </w:pPr>
      <w:r>
        <w:rPr>
          <w:rFonts w:ascii="Arial" w:cs="Arial" w:eastAsia="Arial" w:hAnsi="Arial"/>
          <w:color w:val="1A1A2E"/>
          <w:sz w:val="20"/>
          <w:szCs w:val="20"/>
        </w:rPr>
        <w:t xml:space="preserve">Expenses without supporting receipts.</w:t>
      </w:r>
    </w:p>
    <w:p>
      <w:pPr>
        <w:pStyle w:val="ListParagraph"/>
        <w:numPr>
          <w:ilvl w:val="0"/>
          <w:numId w:val="2"/>
        </w:numPr>
        <w:spacing w:after="80" w:before="0"/>
      </w:pPr>
      <w:r>
        <w:rPr>
          <w:rFonts w:ascii="Arial" w:cs="Arial" w:eastAsia="Arial" w:hAnsi="Arial"/>
          <w:color w:val="1A1A2E"/>
          <w:sz w:val="20"/>
          <w:szCs w:val="20"/>
        </w:rPr>
        <w:t xml:space="preserve">Alcohol (unless associated with an approved client entertainment claim, within limit).</w:t>
      </w:r>
    </w:p>
    <w:p>
      <w:pPr>
        <w:pStyle w:val="Heading2"/>
        <w:spacing w:after="120" w:before="240"/>
      </w:pPr>
      <w:r>
        <w:rPr>
          <w:rFonts w:ascii="Arial" w:cs="Arial" w:eastAsia="Arial" w:hAnsi="Arial"/>
          <w:b/>
          <w:bCs/>
          <w:color w:val="1B3A6B"/>
          <w:sz w:val="26"/>
          <w:szCs w:val="26"/>
        </w:rPr>
        <w:t xml:space="preserve">8.6 Fraudulent Claims</w:t>
      </w:r>
    </w:p>
    <w:p>
      <w:pPr>
        <w:spacing w:after="120" w:before="0"/>
      </w:pPr>
      <w:r>
        <w:rPr>
          <w:rFonts w:ascii="Arial" w:cs="Arial" w:eastAsia="Arial" w:hAnsi="Arial"/>
          <w:color w:val="1A1A2E"/>
          <w:sz w:val="20"/>
          <w:szCs w:val="20"/>
        </w:rPr>
        <w:t xml:space="preserve">Submitting false, exaggerated, or duplicate expense claims constitutes fraud and will result in immediate disciplinary action up to and including dismissal and possible criminal prosecution.</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09</w:t>
            </w:r>
          </w:p>
          <w:p>
            <w:pPr>
              <w:spacing w:after="0" w:before="0"/>
            </w:pPr>
            <w:r>
              <w:rPr>
                <w:rFonts w:ascii="Arial" w:cs="Arial" w:eastAsia="Arial" w:hAnsi="Arial"/>
                <w:b/>
                <w:bCs/>
                <w:color w:val="FFFFFF"/>
                <w:sz w:val="32"/>
                <w:szCs w:val="32"/>
              </w:rPr>
              <w:t xml:space="preserve">Conflict of Interest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MGT-LEGAL-001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Legal / 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and directors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9.1 Purpose</w:t>
      </w:r>
    </w:p>
    <w:p>
      <w:pPr>
        <w:spacing w:after="120" w:before="0"/>
      </w:pPr>
      <w:r>
        <w:rPr>
          <w:rFonts w:ascii="Arial" w:cs="Arial" w:eastAsia="Arial" w:hAnsi="Arial"/>
          <w:color w:val="1A1A2E"/>
          <w:sz w:val="20"/>
          <w:szCs w:val="20"/>
        </w:rPr>
        <w:t xml:space="preserve">This policy is designed to protect MGT's integrity and reputation by ensuring that employees and directors identify and manage situations where personal interests may conflict with their duties to the company.</w:t>
      </w:r>
    </w:p>
    <w:p>
      <w:pPr>
        <w:pStyle w:val="Heading2"/>
        <w:spacing w:after="120" w:before="240"/>
      </w:pPr>
      <w:r>
        <w:rPr>
          <w:rFonts w:ascii="Arial" w:cs="Arial" w:eastAsia="Arial" w:hAnsi="Arial"/>
          <w:b/>
          <w:bCs/>
          <w:color w:val="1B3A6B"/>
          <w:sz w:val="26"/>
          <w:szCs w:val="26"/>
        </w:rPr>
        <w:t xml:space="preserve">9.2 What is a Conflict of Interest?</w:t>
      </w:r>
    </w:p>
    <w:p>
      <w:pPr>
        <w:spacing w:after="120" w:before="0"/>
      </w:pPr>
      <w:r>
        <w:rPr>
          <w:rFonts w:ascii="Arial" w:cs="Arial" w:eastAsia="Arial" w:hAnsi="Arial"/>
          <w:color w:val="1A1A2E"/>
          <w:sz w:val="20"/>
          <w:szCs w:val="20"/>
        </w:rPr>
        <w:t xml:space="preserve">A conflict of interest arises when an individual's personal, financial, or other interests could improperly influence their professional judgement or actions on behalf of MGT. This includes:</w:t>
      </w:r>
    </w:p>
    <w:p>
      <w:pPr>
        <w:pStyle w:val="ListParagraph"/>
        <w:numPr>
          <w:ilvl w:val="0"/>
          <w:numId w:val="2"/>
        </w:numPr>
        <w:spacing w:after="80" w:before="0"/>
      </w:pPr>
      <w:r>
        <w:rPr>
          <w:rFonts w:ascii="Arial" w:cs="Arial" w:eastAsia="Arial" w:hAnsi="Arial"/>
          <w:color w:val="1A1A2E"/>
          <w:sz w:val="20"/>
          <w:szCs w:val="20"/>
        </w:rPr>
        <w:t xml:space="preserve">Financial interests in a competitor, supplier, or client.</w:t>
      </w:r>
    </w:p>
    <w:p>
      <w:pPr>
        <w:pStyle w:val="ListParagraph"/>
        <w:numPr>
          <w:ilvl w:val="0"/>
          <w:numId w:val="2"/>
        </w:numPr>
        <w:spacing w:after="80" w:before="0"/>
      </w:pPr>
      <w:r>
        <w:rPr>
          <w:rFonts w:ascii="Arial" w:cs="Arial" w:eastAsia="Arial" w:hAnsi="Arial"/>
          <w:color w:val="1A1A2E"/>
          <w:sz w:val="20"/>
          <w:szCs w:val="20"/>
        </w:rPr>
        <w:t xml:space="preserve">Outside employment or consulting arrangements that conflict with MGT duties.</w:t>
      </w:r>
    </w:p>
    <w:p>
      <w:pPr>
        <w:pStyle w:val="ListParagraph"/>
        <w:numPr>
          <w:ilvl w:val="0"/>
          <w:numId w:val="2"/>
        </w:numPr>
        <w:spacing w:after="80" w:before="0"/>
      </w:pPr>
      <w:r>
        <w:rPr>
          <w:rFonts w:ascii="Arial" w:cs="Arial" w:eastAsia="Arial" w:hAnsi="Arial"/>
          <w:color w:val="1A1A2E"/>
          <w:sz w:val="20"/>
          <w:szCs w:val="20"/>
        </w:rPr>
        <w:t xml:space="preserve">Personal relationships that influence business decisions (e.g., employing or contracting a family member).</w:t>
      </w:r>
    </w:p>
    <w:p>
      <w:pPr>
        <w:pStyle w:val="ListParagraph"/>
        <w:numPr>
          <w:ilvl w:val="0"/>
          <w:numId w:val="2"/>
        </w:numPr>
        <w:spacing w:after="80" w:before="0"/>
      </w:pPr>
      <w:r>
        <w:rPr>
          <w:rFonts w:ascii="Arial" w:cs="Arial" w:eastAsia="Arial" w:hAnsi="Arial"/>
          <w:color w:val="1A1A2E"/>
          <w:sz w:val="20"/>
          <w:szCs w:val="20"/>
        </w:rPr>
        <w:t xml:space="preserve">Using MGT resources, information, or relationships for personal gain.</w:t>
      </w:r>
    </w:p>
    <w:p>
      <w:pPr>
        <w:pStyle w:val="ListParagraph"/>
        <w:numPr>
          <w:ilvl w:val="0"/>
          <w:numId w:val="2"/>
        </w:numPr>
        <w:spacing w:after="80" w:before="0"/>
      </w:pPr>
      <w:r>
        <w:rPr>
          <w:rFonts w:ascii="Arial" w:cs="Arial" w:eastAsia="Arial" w:hAnsi="Arial"/>
          <w:color w:val="1A1A2E"/>
          <w:sz w:val="20"/>
          <w:szCs w:val="20"/>
        </w:rPr>
        <w:t xml:space="preserve">Serving on the board of a competitor or conflicted entity without disclosure.</w:t>
      </w:r>
    </w:p>
    <w:p>
      <w:pPr>
        <w:pStyle w:val="Heading2"/>
        <w:spacing w:after="120" w:before="240"/>
      </w:pPr>
      <w:r>
        <w:rPr>
          <w:rFonts w:ascii="Arial" w:cs="Arial" w:eastAsia="Arial" w:hAnsi="Arial"/>
          <w:b/>
          <w:bCs/>
          <w:color w:val="1B3A6B"/>
          <w:sz w:val="26"/>
          <w:szCs w:val="26"/>
        </w:rPr>
        <w:t xml:space="preserve">9.3 Disclosure Obligations</w:t>
      </w:r>
    </w:p>
    <w:p>
      <w:pPr>
        <w:spacing w:after="120" w:before="0"/>
      </w:pPr>
      <w:r>
        <w:rPr>
          <w:rFonts w:ascii="Arial" w:cs="Arial" w:eastAsia="Arial" w:hAnsi="Arial"/>
          <w:color w:val="1A1A2E"/>
          <w:sz w:val="20"/>
          <w:szCs w:val="20"/>
        </w:rPr>
        <w:t xml:space="preserve">All employees and directors must disclose actual or potential conflicts of interest:</w:t>
      </w:r>
    </w:p>
    <w:p>
      <w:pPr>
        <w:pStyle w:val="ListParagraph"/>
        <w:numPr>
          <w:ilvl w:val="0"/>
          <w:numId w:val="2"/>
        </w:numPr>
        <w:spacing w:after="80" w:before="0"/>
      </w:pPr>
      <w:r>
        <w:rPr>
          <w:rFonts w:ascii="Arial" w:cs="Arial" w:eastAsia="Arial" w:hAnsi="Arial"/>
          <w:color w:val="1A1A2E"/>
          <w:sz w:val="20"/>
          <w:szCs w:val="20"/>
        </w:rPr>
        <w:t xml:space="preserve">On appointment or commencement of employment.</w:t>
      </w:r>
    </w:p>
    <w:p>
      <w:pPr>
        <w:pStyle w:val="ListParagraph"/>
        <w:numPr>
          <w:ilvl w:val="0"/>
          <w:numId w:val="2"/>
        </w:numPr>
        <w:spacing w:after="80" w:before="0"/>
      </w:pPr>
      <w:r>
        <w:rPr>
          <w:rFonts w:ascii="Arial" w:cs="Arial" w:eastAsia="Arial" w:hAnsi="Arial"/>
          <w:color w:val="1A1A2E"/>
          <w:sz w:val="20"/>
          <w:szCs w:val="20"/>
        </w:rPr>
        <w:t xml:space="preserve">Promptly upon becoming aware of any new or emerging conflict.</w:t>
      </w:r>
    </w:p>
    <w:p>
      <w:pPr>
        <w:pStyle w:val="ListParagraph"/>
        <w:numPr>
          <w:ilvl w:val="0"/>
          <w:numId w:val="2"/>
        </w:numPr>
        <w:spacing w:after="80" w:before="0"/>
      </w:pPr>
      <w:r>
        <w:rPr>
          <w:rFonts w:ascii="Arial" w:cs="Arial" w:eastAsia="Arial" w:hAnsi="Arial"/>
          <w:color w:val="1A1A2E"/>
          <w:sz w:val="20"/>
          <w:szCs w:val="20"/>
        </w:rPr>
        <w:t xml:space="preserve">Annually through the Conflict of Interest Declaration Form (CIDF-001).</w:t>
      </w:r>
    </w:p>
    <w:p>
      <w:pPr>
        <w:spacing w:after="120" w:before="0"/>
      </w:pPr>
      <w:r>
        <w:rPr>
          <w:rFonts w:ascii="Arial" w:cs="Arial" w:eastAsia="Arial" w:hAnsi="Arial"/>
          <w:color w:val="1A1A2E"/>
          <w:sz w:val="20"/>
          <w:szCs w:val="20"/>
        </w:rPr>
        <w:t xml:space="preserve">Disclosures must be made in writing to the employee's line manager and HR. Directors must disclose to the Board.</w:t>
      </w:r>
    </w:p>
    <w:p>
      <w:pPr>
        <w:pStyle w:val="Heading2"/>
        <w:spacing w:after="120" w:before="240"/>
      </w:pPr>
      <w:r>
        <w:rPr>
          <w:rFonts w:ascii="Arial" w:cs="Arial" w:eastAsia="Arial" w:hAnsi="Arial"/>
          <w:b/>
          <w:bCs/>
          <w:color w:val="1B3A6B"/>
          <w:sz w:val="26"/>
          <w:szCs w:val="26"/>
        </w:rPr>
        <w:t xml:space="preserve">9.4 Managing Conflicts</w:t>
      </w:r>
    </w:p>
    <w:p>
      <w:pPr>
        <w:spacing w:after="120" w:before="0"/>
      </w:pPr>
      <w:r>
        <w:rPr>
          <w:rFonts w:ascii="Arial" w:cs="Arial" w:eastAsia="Arial" w:hAnsi="Arial"/>
          <w:color w:val="1A1A2E"/>
          <w:sz w:val="20"/>
          <w:szCs w:val="20"/>
        </w:rPr>
        <w:t xml:space="preserve">Upon receipt of a disclosure, HR will assess the conflict and determine one of the following courses of action:</w:t>
      </w:r>
    </w:p>
    <w:p>
      <w:pPr>
        <w:pStyle w:val="ListParagraph"/>
        <w:numPr>
          <w:ilvl w:val="0"/>
          <w:numId w:val="2"/>
        </w:numPr>
        <w:spacing w:after="80" w:before="0"/>
      </w:pPr>
      <w:r>
        <w:rPr>
          <w:rFonts w:ascii="Arial" w:cs="Arial" w:eastAsia="Arial" w:hAnsi="Arial"/>
          <w:color w:val="1A1A2E"/>
          <w:sz w:val="20"/>
          <w:szCs w:val="20"/>
        </w:rPr>
        <w:t xml:space="preserve">No action required (no material conflict identified).</w:t>
      </w:r>
    </w:p>
    <w:p>
      <w:pPr>
        <w:pStyle w:val="ListParagraph"/>
        <w:numPr>
          <w:ilvl w:val="0"/>
          <w:numId w:val="2"/>
        </w:numPr>
        <w:spacing w:after="80" w:before="0"/>
      </w:pPr>
      <w:r>
        <w:rPr>
          <w:rFonts w:ascii="Arial" w:cs="Arial" w:eastAsia="Arial" w:hAnsi="Arial"/>
          <w:color w:val="1A1A2E"/>
          <w:sz w:val="20"/>
          <w:szCs w:val="20"/>
        </w:rPr>
        <w:t xml:space="preserve">Recusal (the employee steps back from the decision or process in question).</w:t>
      </w:r>
    </w:p>
    <w:p>
      <w:pPr>
        <w:pStyle w:val="ListParagraph"/>
        <w:numPr>
          <w:ilvl w:val="0"/>
          <w:numId w:val="2"/>
        </w:numPr>
        <w:spacing w:after="80" w:before="0"/>
      </w:pPr>
      <w:r>
        <w:rPr>
          <w:rFonts w:ascii="Arial" w:cs="Arial" w:eastAsia="Arial" w:hAnsi="Arial"/>
          <w:color w:val="1A1A2E"/>
          <w:sz w:val="20"/>
          <w:szCs w:val="20"/>
        </w:rPr>
        <w:t xml:space="preserve">Divestiture (the employee divests the conflicting interest).</w:t>
      </w:r>
    </w:p>
    <w:p>
      <w:pPr>
        <w:pStyle w:val="ListParagraph"/>
        <w:numPr>
          <w:ilvl w:val="0"/>
          <w:numId w:val="2"/>
        </w:numPr>
        <w:spacing w:after="80" w:before="0"/>
      </w:pPr>
      <w:r>
        <w:rPr>
          <w:rFonts w:ascii="Arial" w:cs="Arial" w:eastAsia="Arial" w:hAnsi="Arial"/>
          <w:color w:val="1A1A2E"/>
          <w:sz w:val="20"/>
          <w:szCs w:val="20"/>
        </w:rPr>
        <w:t xml:space="preserve">Formal management plan agreed between the employee, their manager, and HR.</w:t>
      </w:r>
    </w:p>
    <w:p>
      <w:pPr>
        <w:pStyle w:val="Heading2"/>
        <w:spacing w:after="120" w:before="240"/>
      </w:pPr>
      <w:r>
        <w:rPr>
          <w:rFonts w:ascii="Arial" w:cs="Arial" w:eastAsia="Arial" w:hAnsi="Arial"/>
          <w:b/>
          <w:bCs/>
          <w:color w:val="1B3A6B"/>
          <w:sz w:val="26"/>
          <w:szCs w:val="26"/>
        </w:rPr>
        <w:t xml:space="preserve">9.5 Gifts and Hospitality</w:t>
      </w:r>
    </w:p>
    <w:p>
      <w:pPr>
        <w:spacing w:after="120" w:before="0"/>
      </w:pPr>
      <w:r>
        <w:rPr>
          <w:rFonts w:ascii="Arial" w:cs="Arial" w:eastAsia="Arial" w:hAnsi="Arial"/>
          <w:color w:val="1A1A2E"/>
          <w:sz w:val="20"/>
          <w:szCs w:val="20"/>
        </w:rPr>
        <w:t xml:space="preserve">Employees must not accept gifts, hospitality, or any benefit from clients, suppliers, or other third parties that could be perceived as influencing their professional judgement. Any gift with a value exceeding R500 must be declared to HR and may need to be returned or donated.</w:t>
      </w:r>
    </w:p>
    <w:p>
      <w:pPr>
        <w:pStyle w:val="Heading2"/>
        <w:spacing w:after="120" w:before="240"/>
      </w:pPr>
      <w:r>
        <w:rPr>
          <w:rFonts w:ascii="Arial" w:cs="Arial" w:eastAsia="Arial" w:hAnsi="Arial"/>
          <w:b/>
          <w:bCs/>
          <w:color w:val="1B3A6B"/>
          <w:sz w:val="26"/>
          <w:szCs w:val="26"/>
        </w:rPr>
        <w:t xml:space="preserve">9.6 Failure to Disclose</w:t>
      </w:r>
    </w:p>
    <w:p>
      <w:pPr>
        <w:spacing w:after="120" w:before="0"/>
      </w:pPr>
      <w:r>
        <w:rPr>
          <w:rFonts w:ascii="Arial" w:cs="Arial" w:eastAsia="Arial" w:hAnsi="Arial"/>
          <w:color w:val="1A1A2E"/>
          <w:sz w:val="20"/>
          <w:szCs w:val="20"/>
        </w:rPr>
        <w:t xml:space="preserve">Failure to disclose a known conflict of interest is a serious breach of this policy and may result in disciplinary action, up to and including dismissal.</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10</w:t>
            </w:r>
          </w:p>
          <w:p>
            <w:pPr>
              <w:spacing w:after="0" w:before="0"/>
            </w:pPr>
            <w:r>
              <w:rPr>
                <w:rFonts w:ascii="Arial" w:cs="Arial" w:eastAsia="Arial" w:hAnsi="Arial"/>
                <w:b/>
                <w:bCs/>
                <w:color w:val="FFFFFF"/>
                <w:sz w:val="32"/>
                <w:szCs w:val="32"/>
              </w:rPr>
              <w:t xml:space="preserve">Whistleblower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MGT-LEGAL-002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Legal / HR / 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contractors, and third parties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10.1 Purpose</w:t>
      </w:r>
    </w:p>
    <w:p>
      <w:pPr>
        <w:spacing w:after="120" w:before="0"/>
      </w:pPr>
      <w:r>
        <w:rPr>
          <w:rFonts w:ascii="Arial" w:cs="Arial" w:eastAsia="Arial" w:hAnsi="Arial"/>
          <w:color w:val="1A1A2E"/>
          <w:sz w:val="20"/>
          <w:szCs w:val="20"/>
        </w:rPr>
        <w:t xml:space="preserve">MGT is committed to the highest standards of ethical conduct. This policy provides a safe, confidential mechanism for employees and third parties to report suspected wrongdoing, without fear of retaliation.</w:t>
      </w:r>
    </w:p>
    <w:p>
      <w:pPr>
        <w:pStyle w:val="Heading2"/>
        <w:spacing w:after="120" w:before="240"/>
      </w:pPr>
      <w:r>
        <w:rPr>
          <w:rFonts w:ascii="Arial" w:cs="Arial" w:eastAsia="Arial" w:hAnsi="Arial"/>
          <w:b/>
          <w:bCs/>
          <w:color w:val="1B3A6B"/>
          <w:sz w:val="26"/>
          <w:szCs w:val="26"/>
        </w:rPr>
        <w:t xml:space="preserve">10.2 What Can Be Reported?</w:t>
      </w:r>
    </w:p>
    <w:p>
      <w:pPr>
        <w:spacing w:after="120" w:before="0"/>
      </w:pPr>
      <w:r>
        <w:rPr>
          <w:rFonts w:ascii="Arial" w:cs="Arial" w:eastAsia="Arial" w:hAnsi="Arial"/>
          <w:color w:val="1A1A2E"/>
          <w:sz w:val="20"/>
          <w:szCs w:val="20"/>
        </w:rPr>
        <w:t xml:space="preserve">Reports may concern any of the following:</w:t>
      </w:r>
    </w:p>
    <w:p>
      <w:pPr>
        <w:pStyle w:val="ListParagraph"/>
        <w:numPr>
          <w:ilvl w:val="0"/>
          <w:numId w:val="2"/>
        </w:numPr>
        <w:spacing w:after="80" w:before="0"/>
      </w:pPr>
      <w:r>
        <w:rPr>
          <w:rFonts w:ascii="Arial" w:cs="Arial" w:eastAsia="Arial" w:hAnsi="Arial"/>
          <w:color w:val="1A1A2E"/>
          <w:sz w:val="20"/>
          <w:szCs w:val="20"/>
        </w:rPr>
        <w:t xml:space="preserve">Fraud, theft, or misappropriation of company or client assets.</w:t>
      </w:r>
    </w:p>
    <w:p>
      <w:pPr>
        <w:pStyle w:val="ListParagraph"/>
        <w:numPr>
          <w:ilvl w:val="0"/>
          <w:numId w:val="2"/>
        </w:numPr>
        <w:spacing w:after="80" w:before="0"/>
      </w:pPr>
      <w:r>
        <w:rPr>
          <w:rFonts w:ascii="Arial" w:cs="Arial" w:eastAsia="Arial" w:hAnsi="Arial"/>
          <w:color w:val="1A1A2E"/>
          <w:sz w:val="20"/>
          <w:szCs w:val="20"/>
        </w:rPr>
        <w:t xml:space="preserve">Bribery, corruption, or facilitation of unlawful payments.</w:t>
      </w:r>
    </w:p>
    <w:p>
      <w:pPr>
        <w:pStyle w:val="ListParagraph"/>
        <w:numPr>
          <w:ilvl w:val="0"/>
          <w:numId w:val="2"/>
        </w:numPr>
        <w:spacing w:after="80" w:before="0"/>
      </w:pPr>
      <w:r>
        <w:rPr>
          <w:rFonts w:ascii="Arial" w:cs="Arial" w:eastAsia="Arial" w:hAnsi="Arial"/>
          <w:color w:val="1A1A2E"/>
          <w:sz w:val="20"/>
          <w:szCs w:val="20"/>
        </w:rPr>
        <w:t xml:space="preserve">Violations of law, regulation, or company policy.</w:t>
      </w:r>
    </w:p>
    <w:p>
      <w:pPr>
        <w:pStyle w:val="ListParagraph"/>
        <w:numPr>
          <w:ilvl w:val="0"/>
          <w:numId w:val="2"/>
        </w:numPr>
        <w:spacing w:after="80" w:before="0"/>
      </w:pPr>
      <w:r>
        <w:rPr>
          <w:rFonts w:ascii="Arial" w:cs="Arial" w:eastAsia="Arial" w:hAnsi="Arial"/>
          <w:color w:val="1A1A2E"/>
          <w:sz w:val="20"/>
          <w:szCs w:val="20"/>
        </w:rPr>
        <w:t xml:space="preserve">Serious breaches of health and safety obligations.</w:t>
      </w:r>
    </w:p>
    <w:p>
      <w:pPr>
        <w:pStyle w:val="ListParagraph"/>
        <w:numPr>
          <w:ilvl w:val="0"/>
          <w:numId w:val="2"/>
        </w:numPr>
        <w:spacing w:after="80" w:before="0"/>
      </w:pPr>
      <w:r>
        <w:rPr>
          <w:rFonts w:ascii="Arial" w:cs="Arial" w:eastAsia="Arial" w:hAnsi="Arial"/>
          <w:color w:val="1A1A2E"/>
          <w:sz w:val="20"/>
          <w:szCs w:val="20"/>
        </w:rPr>
        <w:t xml:space="preserve">Abuse of power or position.</w:t>
      </w:r>
    </w:p>
    <w:p>
      <w:pPr>
        <w:pStyle w:val="ListParagraph"/>
        <w:numPr>
          <w:ilvl w:val="0"/>
          <w:numId w:val="2"/>
        </w:numPr>
        <w:spacing w:after="80" w:before="0"/>
      </w:pPr>
      <w:r>
        <w:rPr>
          <w:rFonts w:ascii="Arial" w:cs="Arial" w:eastAsia="Arial" w:hAnsi="Arial"/>
          <w:color w:val="1A1A2E"/>
          <w:sz w:val="20"/>
          <w:szCs w:val="20"/>
        </w:rPr>
        <w:t xml:space="preserve">Suppression of evidence or obstruction of investigations.</w:t>
      </w:r>
    </w:p>
    <w:p>
      <w:pPr>
        <w:pStyle w:val="ListParagraph"/>
        <w:numPr>
          <w:ilvl w:val="0"/>
          <w:numId w:val="2"/>
        </w:numPr>
        <w:spacing w:after="80" w:before="0"/>
      </w:pPr>
      <w:r>
        <w:rPr>
          <w:rFonts w:ascii="Arial" w:cs="Arial" w:eastAsia="Arial" w:hAnsi="Arial"/>
          <w:color w:val="1A1A2E"/>
          <w:sz w:val="20"/>
          <w:szCs w:val="20"/>
        </w:rPr>
        <w:t xml:space="preserve">Any conduct that poses a risk to employees, clients, or the public.</w:t>
      </w:r>
    </w:p>
    <w:p>
      <w:pPr>
        <w:pStyle w:val="Heading2"/>
        <w:spacing w:after="120" w:before="240"/>
      </w:pPr>
      <w:r>
        <w:rPr>
          <w:rFonts w:ascii="Arial" w:cs="Arial" w:eastAsia="Arial" w:hAnsi="Arial"/>
          <w:b/>
          <w:bCs/>
          <w:color w:val="1B3A6B"/>
          <w:sz w:val="26"/>
          <w:szCs w:val="26"/>
        </w:rPr>
        <w:t xml:space="preserve">10.3 How to Report</w:t>
      </w:r>
    </w:p>
    <w:p>
      <w:pPr>
        <w:spacing w:after="120" w:before="0"/>
      </w:pPr>
      <w:r>
        <w:rPr>
          <w:rFonts w:ascii="Arial" w:cs="Arial" w:eastAsia="Arial" w:hAnsi="Arial"/>
          <w:color w:val="1A1A2E"/>
          <w:sz w:val="20"/>
          <w:szCs w:val="20"/>
        </w:rPr>
        <w:t xml:space="preserve">Reports can be made through any of the following channels:</w:t>
      </w:r>
    </w:p>
    <w:p>
      <w:pPr>
        <w:pStyle w:val="ListParagraph"/>
        <w:numPr>
          <w:ilvl w:val="0"/>
          <w:numId w:val="2"/>
        </w:numPr>
        <w:spacing w:after="80" w:before="0"/>
      </w:pPr>
      <w:r>
        <w:rPr>
          <w:rFonts w:ascii="Arial" w:cs="Arial" w:eastAsia="Arial" w:hAnsi="Arial"/>
          <w:color w:val="1A1A2E"/>
          <w:sz w:val="20"/>
          <w:szCs w:val="20"/>
        </w:rPr>
        <w:t xml:space="preserve">Confidential Whistleblower Email: admin@mgucatech.com</w:t>
      </w:r>
    </w:p>
    <w:p>
      <w:pPr>
        <w:pStyle w:val="ListParagraph"/>
        <w:numPr>
          <w:ilvl w:val="0"/>
          <w:numId w:val="2"/>
        </w:numPr>
        <w:spacing w:after="80" w:before="0"/>
      </w:pPr>
      <w:r>
        <w:rPr>
          <w:rFonts w:ascii="Arial" w:cs="Arial" w:eastAsia="Arial" w:hAnsi="Arial"/>
          <w:color w:val="1A1A2E"/>
          <w:sz w:val="20"/>
          <w:szCs w:val="20"/>
        </w:rPr>
        <w:t xml:space="preserve">Anonymous Online Reporting Portal: [URL to be configured]</w:t>
      </w:r>
    </w:p>
    <w:p>
      <w:pPr>
        <w:pStyle w:val="ListParagraph"/>
        <w:numPr>
          <w:ilvl w:val="0"/>
          <w:numId w:val="2"/>
        </w:numPr>
        <w:spacing w:after="80" w:before="0"/>
      </w:pPr>
      <w:r>
        <w:rPr>
          <w:rFonts w:ascii="Arial" w:cs="Arial" w:eastAsia="Arial" w:hAnsi="Arial"/>
          <w:color w:val="1A1A2E"/>
          <w:sz w:val="20"/>
          <w:szCs w:val="20"/>
        </w:rPr>
        <w:t xml:space="preserve">Direct reporting to the HR Director or Legal Counsel.</w:t>
      </w:r>
    </w:p>
    <w:p>
      <w:pPr>
        <w:pStyle w:val="ListParagraph"/>
        <w:numPr>
          <w:ilvl w:val="0"/>
          <w:numId w:val="2"/>
        </w:numPr>
        <w:spacing w:after="80" w:before="0"/>
      </w:pPr>
      <w:r>
        <w:rPr>
          <w:rFonts w:ascii="Arial" w:cs="Arial" w:eastAsia="Arial" w:hAnsi="Arial"/>
          <w:color w:val="1A1A2E"/>
          <w:sz w:val="20"/>
          <w:szCs w:val="20"/>
        </w:rPr>
        <w:t xml:space="preserve">External regulatory authorities (where appropriate and lawful).</w:t>
      </w:r>
    </w:p>
    <w:p>
      <w:pPr>
        <w:pStyle w:val="Heading2"/>
        <w:spacing w:after="120" w:before="240"/>
      </w:pPr>
      <w:r>
        <w:rPr>
          <w:rFonts w:ascii="Arial" w:cs="Arial" w:eastAsia="Arial" w:hAnsi="Arial"/>
          <w:b/>
          <w:bCs/>
          <w:color w:val="1B3A6B"/>
          <w:sz w:val="26"/>
          <w:szCs w:val="26"/>
        </w:rPr>
        <w:t xml:space="preserve">10.4 Confidentiality</w:t>
      </w:r>
    </w:p>
    <w:p>
      <w:pPr>
        <w:spacing w:after="120" w:before="0"/>
      </w:pPr>
      <w:r>
        <w:rPr>
          <w:rFonts w:ascii="Arial" w:cs="Arial" w:eastAsia="Arial" w:hAnsi="Arial"/>
          <w:color w:val="1A1A2E"/>
          <w:sz w:val="20"/>
          <w:szCs w:val="20"/>
        </w:rPr>
        <w:t xml:space="preserve">MGT will protect the confidentiality of whistleblowers to the fullest extent possible. The identity of a reporter will not be disclosed without their consent, except where disclosure is required by law or is essential to a fair investigation.</w:t>
      </w:r>
    </w:p>
    <w:p>
      <w:pPr>
        <w:pStyle w:val="Heading2"/>
        <w:spacing w:after="120" w:before="240"/>
      </w:pPr>
      <w:r>
        <w:rPr>
          <w:rFonts w:ascii="Arial" w:cs="Arial" w:eastAsia="Arial" w:hAnsi="Arial"/>
          <w:b/>
          <w:bCs/>
          <w:color w:val="1B3A6B"/>
          <w:sz w:val="26"/>
          <w:szCs w:val="26"/>
        </w:rPr>
        <w:t xml:space="preserve">10.5 Anti-Retaliation</w:t>
      </w:r>
    </w:p>
    <w:p>
      <w:pPr>
        <w:spacing w:after="120" w:before="0"/>
      </w:pPr>
      <w:r>
        <w:rPr>
          <w:rFonts w:ascii="Arial" w:cs="Arial" w:eastAsia="Arial" w:hAnsi="Arial"/>
          <w:color w:val="1A1A2E"/>
          <w:sz w:val="20"/>
          <w:szCs w:val="20"/>
        </w:rPr>
        <w:t xml:space="preserve">MGT strictly prohibits retaliation against any person who makes a report in good faith, including:</w:t>
      </w:r>
    </w:p>
    <w:p>
      <w:pPr>
        <w:pStyle w:val="ListParagraph"/>
        <w:numPr>
          <w:ilvl w:val="0"/>
          <w:numId w:val="2"/>
        </w:numPr>
        <w:spacing w:after="80" w:before="0"/>
      </w:pPr>
      <w:r>
        <w:rPr>
          <w:rFonts w:ascii="Arial" w:cs="Arial" w:eastAsia="Arial" w:hAnsi="Arial"/>
          <w:color w:val="1A1A2E"/>
          <w:sz w:val="20"/>
          <w:szCs w:val="20"/>
        </w:rPr>
        <w:t xml:space="preserve">Termination, demotion, or adverse changes to employment conditions.</w:t>
      </w:r>
    </w:p>
    <w:p>
      <w:pPr>
        <w:pStyle w:val="ListParagraph"/>
        <w:numPr>
          <w:ilvl w:val="0"/>
          <w:numId w:val="2"/>
        </w:numPr>
        <w:spacing w:after="80" w:before="0"/>
      </w:pPr>
      <w:r>
        <w:rPr>
          <w:rFonts w:ascii="Arial" w:cs="Arial" w:eastAsia="Arial" w:hAnsi="Arial"/>
          <w:color w:val="1A1A2E"/>
          <w:sz w:val="20"/>
          <w:szCs w:val="20"/>
        </w:rPr>
        <w:t xml:space="preserve">Harassment, intimidation, or ostracism.</w:t>
      </w:r>
    </w:p>
    <w:p>
      <w:pPr>
        <w:pStyle w:val="ListParagraph"/>
        <w:numPr>
          <w:ilvl w:val="0"/>
          <w:numId w:val="2"/>
        </w:numPr>
        <w:spacing w:after="80" w:before="0"/>
      </w:pPr>
      <w:r>
        <w:rPr>
          <w:rFonts w:ascii="Arial" w:cs="Arial" w:eastAsia="Arial" w:hAnsi="Arial"/>
          <w:color w:val="1A1A2E"/>
          <w:sz w:val="20"/>
          <w:szCs w:val="20"/>
        </w:rPr>
        <w:t xml:space="preserve">Denial of promotion, training, or other career opportunities.</w:t>
      </w:r>
    </w:p>
    <w:p>
      <w:pPr>
        <w:spacing w:after="120" w:before="0"/>
      </w:pPr>
      <w:r>
        <w:rPr>
          <w:rFonts w:ascii="Arial" w:cs="Arial" w:eastAsia="Arial" w:hAnsi="Arial"/>
          <w:color w:val="1A1A2E"/>
          <w:sz w:val="20"/>
          <w:szCs w:val="20"/>
        </w:rPr>
        <w:t xml:space="preserve">Any act of retaliation is itself a serious disciplinary offence. Employees who experience retaliation should report it immediately to HR or the Board.</w:t>
      </w:r>
    </w:p>
    <w:p>
      <w:pPr>
        <w:pStyle w:val="Heading2"/>
        <w:spacing w:after="120" w:before="240"/>
      </w:pPr>
      <w:r>
        <w:rPr>
          <w:rFonts w:ascii="Arial" w:cs="Arial" w:eastAsia="Arial" w:hAnsi="Arial"/>
          <w:b/>
          <w:bCs/>
          <w:color w:val="1B3A6B"/>
          <w:sz w:val="26"/>
          <w:szCs w:val="26"/>
        </w:rPr>
        <w:t xml:space="preserve">10.6 Good Faith Reporting</w:t>
      </w:r>
    </w:p>
    <w:p>
      <w:pPr>
        <w:spacing w:after="120" w:before="0"/>
      </w:pPr>
      <w:r>
        <w:rPr>
          <w:rFonts w:ascii="Arial" w:cs="Arial" w:eastAsia="Arial" w:hAnsi="Arial"/>
          <w:color w:val="1A1A2E"/>
          <w:sz w:val="20"/>
          <w:szCs w:val="20"/>
        </w:rPr>
        <w:t xml:space="preserve">Reports must be made honestly and in good faith. Employees who knowingly make false or malicious reports may face disciplinary action.</w:t>
      </w:r>
    </w:p>
    <w:p>
      <w:pPr>
        <w:pStyle w:val="Heading2"/>
        <w:spacing w:after="120" w:before="240"/>
      </w:pPr>
      <w:r>
        <w:rPr>
          <w:rFonts w:ascii="Arial" w:cs="Arial" w:eastAsia="Arial" w:hAnsi="Arial"/>
          <w:b/>
          <w:bCs/>
          <w:color w:val="1B3A6B"/>
          <w:sz w:val="26"/>
          <w:szCs w:val="26"/>
        </w:rPr>
        <w:t xml:space="preserve">10.7 Investigation Process</w:t>
      </w:r>
    </w:p>
    <w:p>
      <w:pPr>
        <w:spacing w:after="120" w:before="0"/>
      </w:pPr>
      <w:r>
        <w:rPr>
          <w:rFonts w:ascii="Arial" w:cs="Arial" w:eastAsia="Arial" w:hAnsi="Arial"/>
          <w:color w:val="1A1A2E"/>
          <w:sz w:val="20"/>
          <w:szCs w:val="20"/>
        </w:rPr>
        <w:t xml:space="preserve">All reports will be acknowledged within 5 business days. Investigations will be conducted by an independent investigator or the Internal Audit function, as appropriate, and concluded within 60 days unless complexity warrants an extension.</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11</w:t>
            </w:r>
          </w:p>
          <w:p>
            <w:pPr>
              <w:spacing w:after="0" w:before="0"/>
            </w:pPr>
            <w:r>
              <w:rPr>
                <w:rFonts w:ascii="Arial" w:cs="Arial" w:eastAsia="Arial" w:hAnsi="Arial"/>
                <w:b/>
                <w:bCs/>
                <w:color w:val="FFFFFF"/>
                <w:sz w:val="32"/>
                <w:szCs w:val="32"/>
              </w:rPr>
              <w:t xml:space="preserve">Performance Management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11.1 Purpose</w:t>
      </w:r>
    </w:p>
    <w:p>
      <w:pPr>
        <w:spacing w:after="120" w:before="0"/>
      </w:pPr>
      <w:r>
        <w:rPr>
          <w:rFonts w:ascii="Arial" w:cs="Arial" w:eastAsia="Arial" w:hAnsi="Arial"/>
          <w:color w:val="1A1A2E"/>
          <w:sz w:val="20"/>
          <w:szCs w:val="20"/>
        </w:rPr>
        <w:t xml:space="preserve">This policy establishes MGT's framework for managing employee performance, setting expectations, providing feedback, recognising achievement, and addressing performance concerns.</w:t>
      </w:r>
    </w:p>
    <w:p>
      <w:pPr>
        <w:pStyle w:val="Heading2"/>
        <w:spacing w:after="120" w:before="240"/>
      </w:pPr>
      <w:r>
        <w:rPr>
          <w:rFonts w:ascii="Arial" w:cs="Arial" w:eastAsia="Arial" w:hAnsi="Arial"/>
          <w:b/>
          <w:bCs/>
          <w:color w:val="1B3A6B"/>
          <w:sz w:val="26"/>
          <w:szCs w:val="26"/>
        </w:rPr>
        <w:t xml:space="preserve">11.2 Performance Management Cycle</w:t>
      </w:r>
    </w:p>
    <w:p>
      <w:pPr>
        <w:spacing w:after="120" w:before="0"/>
      </w:pPr>
      <w:r>
        <w:rPr>
          <w:rFonts w:ascii="Arial" w:cs="Arial" w:eastAsia="Arial" w:hAnsi="Arial"/>
          <w:color w:val="1A1A2E"/>
          <w:sz w:val="20"/>
          <w:szCs w:val="20"/>
        </w:rPr>
        <w:t xml:space="preserve">MGT follows an annual performance management cycle with the following key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Goal Setting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Employee and manager agree on SMART objectives aligned to company 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January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Mid-Year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Progress check, feedback, and recalibration of goals if necessary.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June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Year-End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evaluation, rating assignment, and development planning.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December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Calibration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Cross-functional moderation to ensure consistency of ratings.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December</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11.3 Performance Ratings</w:t>
      </w:r>
    </w:p>
    <w:p>
      <w:pPr>
        <w:spacing w:after="120" w:before="0"/>
      </w:pPr>
      <w:r>
        <w:rPr>
          <w:rFonts w:ascii="Arial" w:cs="Arial" w:eastAsia="Arial" w:hAnsi="Arial"/>
          <w:color w:val="1A1A2E"/>
          <w:sz w:val="20"/>
          <w:szCs w:val="20"/>
        </w:rPr>
        <w:t xml:space="preserve">Employees will receive one of the following ratings at year-end:</w:t>
      </w:r>
    </w:p>
    <w:p>
      <w:pPr>
        <w:pStyle w:val="ListParagraph"/>
        <w:numPr>
          <w:ilvl w:val="0"/>
          <w:numId w:val="2"/>
        </w:numPr>
        <w:spacing w:after="80" w:before="0"/>
      </w:pPr>
      <w:r>
        <w:rPr>
          <w:rFonts w:ascii="Arial" w:cs="Arial" w:eastAsia="Arial" w:hAnsi="Arial"/>
          <w:color w:val="1A1A2E"/>
          <w:sz w:val="20"/>
          <w:szCs w:val="20"/>
        </w:rPr>
        <w:t xml:space="preserve">5 – Exceptional: Consistently exceeds all objectives; exceptional contribution.</w:t>
      </w:r>
    </w:p>
    <w:p>
      <w:pPr>
        <w:pStyle w:val="ListParagraph"/>
        <w:numPr>
          <w:ilvl w:val="0"/>
          <w:numId w:val="2"/>
        </w:numPr>
        <w:spacing w:after="80" w:before="0"/>
      </w:pPr>
      <w:r>
        <w:rPr>
          <w:rFonts w:ascii="Arial" w:cs="Arial" w:eastAsia="Arial" w:hAnsi="Arial"/>
          <w:color w:val="1A1A2E"/>
          <w:sz w:val="20"/>
          <w:szCs w:val="20"/>
        </w:rPr>
        <w:t xml:space="preserve">4 – Exceeds Expectations: Regularly surpasses objectives; strong contribution.</w:t>
      </w:r>
    </w:p>
    <w:p>
      <w:pPr>
        <w:pStyle w:val="ListParagraph"/>
        <w:numPr>
          <w:ilvl w:val="0"/>
          <w:numId w:val="2"/>
        </w:numPr>
        <w:spacing w:after="80" w:before="0"/>
      </w:pPr>
      <w:r>
        <w:rPr>
          <w:rFonts w:ascii="Arial" w:cs="Arial" w:eastAsia="Arial" w:hAnsi="Arial"/>
          <w:color w:val="1A1A2E"/>
          <w:sz w:val="20"/>
          <w:szCs w:val="20"/>
        </w:rPr>
        <w:t xml:space="preserve">3 – Meets Expectations: Consistently meets all objectives; solid performance.</w:t>
      </w:r>
    </w:p>
    <w:p>
      <w:pPr>
        <w:pStyle w:val="ListParagraph"/>
        <w:numPr>
          <w:ilvl w:val="0"/>
          <w:numId w:val="2"/>
        </w:numPr>
        <w:spacing w:after="80" w:before="0"/>
      </w:pPr>
      <w:r>
        <w:rPr>
          <w:rFonts w:ascii="Arial" w:cs="Arial" w:eastAsia="Arial" w:hAnsi="Arial"/>
          <w:color w:val="1A1A2E"/>
          <w:sz w:val="20"/>
          <w:szCs w:val="20"/>
        </w:rPr>
        <w:t xml:space="preserve">2 – Partially Meets Expectations: Some objectives not met; improvement needed.</w:t>
      </w:r>
    </w:p>
    <w:p>
      <w:pPr>
        <w:pStyle w:val="ListParagraph"/>
        <w:numPr>
          <w:ilvl w:val="0"/>
          <w:numId w:val="2"/>
        </w:numPr>
        <w:spacing w:after="80" w:before="0"/>
      </w:pPr>
      <w:r>
        <w:rPr>
          <w:rFonts w:ascii="Arial" w:cs="Arial" w:eastAsia="Arial" w:hAnsi="Arial"/>
          <w:color w:val="1A1A2E"/>
          <w:sz w:val="20"/>
          <w:szCs w:val="20"/>
        </w:rPr>
        <w:t xml:space="preserve">1 – Does Not Meet Expectations: Significant gaps in performance; immediate action required.</w:t>
      </w:r>
    </w:p>
    <w:p>
      <w:pPr>
        <w:pStyle w:val="Heading2"/>
        <w:spacing w:after="120" w:before="240"/>
      </w:pPr>
      <w:r>
        <w:rPr>
          <w:rFonts w:ascii="Arial" w:cs="Arial" w:eastAsia="Arial" w:hAnsi="Arial"/>
          <w:b/>
          <w:bCs/>
          <w:color w:val="1B3A6B"/>
          <w:sz w:val="26"/>
          <w:szCs w:val="26"/>
        </w:rPr>
        <w:t xml:space="preserve">11.4 Underperformance Management</w:t>
      </w:r>
    </w:p>
    <w:p>
      <w:pPr>
        <w:spacing w:after="120" w:before="0"/>
      </w:pPr>
      <w:r>
        <w:rPr>
          <w:rFonts w:ascii="Arial" w:cs="Arial" w:eastAsia="Arial" w:hAnsi="Arial"/>
          <w:color w:val="1A1A2E"/>
          <w:sz w:val="20"/>
          <w:szCs w:val="20"/>
        </w:rPr>
        <w:t xml:space="preserve">Where an employee's performance falls below the expected standard, the following process will be followed:</w:t>
      </w:r>
    </w:p>
    <w:p>
      <w:pPr>
        <w:pStyle w:val="ListParagraph"/>
        <w:numPr>
          <w:ilvl w:val="0"/>
          <w:numId w:val="3"/>
        </w:numPr>
        <w:spacing w:after="80" w:before="0"/>
      </w:pPr>
      <w:r>
        <w:rPr>
          <w:rFonts w:ascii="Arial" w:cs="Arial" w:eastAsia="Arial" w:hAnsi="Arial"/>
          <w:color w:val="1A1A2E"/>
          <w:sz w:val="20"/>
          <w:szCs w:val="20"/>
        </w:rPr>
        <w:t xml:space="preserve">Informal discussion between employee and manager.</w:t>
      </w:r>
    </w:p>
    <w:p>
      <w:pPr>
        <w:pStyle w:val="ListParagraph"/>
        <w:numPr>
          <w:ilvl w:val="0"/>
          <w:numId w:val="3"/>
        </w:numPr>
        <w:spacing w:after="80" w:before="0"/>
      </w:pPr>
      <w:r>
        <w:rPr>
          <w:rFonts w:ascii="Arial" w:cs="Arial" w:eastAsia="Arial" w:hAnsi="Arial"/>
          <w:color w:val="1A1A2E"/>
          <w:sz w:val="20"/>
          <w:szCs w:val="20"/>
        </w:rPr>
        <w:t xml:space="preserve">Formal Performance Improvement Plan (PIP) developed collaboratively.</w:t>
      </w:r>
    </w:p>
    <w:p>
      <w:pPr>
        <w:pStyle w:val="ListParagraph"/>
        <w:numPr>
          <w:ilvl w:val="0"/>
          <w:numId w:val="3"/>
        </w:numPr>
        <w:spacing w:after="80" w:before="0"/>
      </w:pPr>
      <w:r>
        <w:rPr>
          <w:rFonts w:ascii="Arial" w:cs="Arial" w:eastAsia="Arial" w:hAnsi="Arial"/>
          <w:color w:val="1A1A2E"/>
          <w:sz w:val="20"/>
          <w:szCs w:val="20"/>
        </w:rPr>
        <w:t xml:space="preserve">Structured review period (typically 60–90 days) with regular check-ins.</w:t>
      </w:r>
    </w:p>
    <w:p>
      <w:pPr>
        <w:pStyle w:val="ListParagraph"/>
        <w:numPr>
          <w:ilvl w:val="0"/>
          <w:numId w:val="3"/>
        </w:numPr>
        <w:spacing w:after="80" w:before="0"/>
      </w:pPr>
      <w:r>
        <w:rPr>
          <w:rFonts w:ascii="Arial" w:cs="Arial" w:eastAsia="Arial" w:hAnsi="Arial"/>
          <w:color w:val="1A1A2E"/>
          <w:sz w:val="20"/>
          <w:szCs w:val="20"/>
        </w:rPr>
        <w:t xml:space="preserve">Outcome: performance improves, role adjusted, or disciplinary process initiated.</w:t>
      </w:r>
    </w:p>
    <w:p>
      <w:pPr>
        <w:pStyle w:val="Heading2"/>
        <w:spacing w:after="120" w:before="240"/>
      </w:pPr>
      <w:r>
        <w:rPr>
          <w:rFonts w:ascii="Arial" w:cs="Arial" w:eastAsia="Arial" w:hAnsi="Arial"/>
          <w:b/>
          <w:bCs/>
          <w:color w:val="1B3A6B"/>
          <w:sz w:val="26"/>
          <w:szCs w:val="26"/>
        </w:rPr>
        <w:t xml:space="preserve">11.5 Recognition &amp; Reward</w:t>
      </w:r>
    </w:p>
    <w:p>
      <w:pPr>
        <w:spacing w:after="120" w:before="0"/>
      </w:pPr>
      <w:r>
        <w:rPr>
          <w:rFonts w:ascii="Arial" w:cs="Arial" w:eastAsia="Arial" w:hAnsi="Arial"/>
          <w:color w:val="1A1A2E"/>
          <w:sz w:val="20"/>
          <w:szCs w:val="20"/>
        </w:rPr>
        <w:t xml:space="preserve">Employees achieving ratings of 4 or 5 are eligible for merit-based salary increases, bonuses, and accelerated development opportunities, subject to overall company performance and budget.</w:t>
      </w:r>
    </w:p>
    <w:p>
      <w:pPr>
        <w:pStyle w:val="Heading2"/>
        <w:spacing w:after="120" w:before="240"/>
      </w:pPr>
      <w:r>
        <w:rPr>
          <w:rFonts w:ascii="Arial" w:cs="Arial" w:eastAsia="Arial" w:hAnsi="Arial"/>
          <w:b/>
          <w:bCs/>
          <w:color w:val="1B3A6B"/>
          <w:sz w:val="26"/>
          <w:szCs w:val="26"/>
        </w:rPr>
        <w:t xml:space="preserve">11.6 Appeals</w:t>
      </w:r>
    </w:p>
    <w:p>
      <w:pPr>
        <w:spacing w:after="120" w:before="0"/>
      </w:pPr>
      <w:r>
        <w:rPr>
          <w:rFonts w:ascii="Arial" w:cs="Arial" w:eastAsia="Arial" w:hAnsi="Arial"/>
          <w:color w:val="1A1A2E"/>
          <w:sz w:val="20"/>
          <w:szCs w:val="20"/>
        </w:rPr>
        <w:t xml:space="preserve">Employees who disagree with their performance rating may submit a written appeal to HR within 10 working days of receiving their review. HR will convene a review panel within 15 working days.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12</w:t>
            </w:r>
          </w:p>
          <w:p>
            <w:pPr>
              <w:spacing w:after="0" w:before="0"/>
            </w:pPr>
            <w:r>
              <w:rPr>
                <w:rFonts w:ascii="Arial" w:cs="Arial" w:eastAsia="Arial" w:hAnsi="Arial"/>
                <w:b/>
                <w:bCs/>
                <w:color w:val="FFFFFF"/>
                <w:sz w:val="32"/>
                <w:szCs w:val="32"/>
              </w:rPr>
              <w:t xml:space="preserve">Email Use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MGT-IT-003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IT / 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with email access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12.1 Purpose</w:t>
      </w:r>
    </w:p>
    <w:p>
      <w:pPr>
        <w:spacing w:after="120" w:before="0"/>
      </w:pPr>
      <w:r>
        <w:rPr>
          <w:rFonts w:ascii="Arial" w:cs="Arial" w:eastAsia="Arial" w:hAnsi="Arial"/>
          <w:color w:val="1A1A2E"/>
          <w:sz w:val="20"/>
          <w:szCs w:val="20"/>
        </w:rPr>
        <w:t xml:space="preserve">This policy governs the use of MGT's email systems and ensures that email is used effectively, professionally, and securely.</w:t>
      </w:r>
    </w:p>
    <w:p>
      <w:pPr>
        <w:pStyle w:val="Heading2"/>
        <w:spacing w:after="120" w:before="240"/>
      </w:pPr>
      <w:r>
        <w:rPr>
          <w:rFonts w:ascii="Arial" w:cs="Arial" w:eastAsia="Arial" w:hAnsi="Arial"/>
          <w:b/>
          <w:bCs/>
          <w:color w:val="1B3A6B"/>
          <w:sz w:val="26"/>
          <w:szCs w:val="26"/>
        </w:rPr>
        <w:t xml:space="preserve">12.2 Acceptable Use</w:t>
      </w:r>
    </w:p>
    <w:p>
      <w:pPr>
        <w:pStyle w:val="ListParagraph"/>
        <w:numPr>
          <w:ilvl w:val="0"/>
          <w:numId w:val="2"/>
        </w:numPr>
        <w:spacing w:after="80" w:before="0"/>
      </w:pPr>
      <w:r>
        <w:rPr>
          <w:rFonts w:ascii="Arial" w:cs="Arial" w:eastAsia="Arial" w:hAnsi="Arial"/>
          <w:color w:val="1A1A2E"/>
          <w:sz w:val="20"/>
          <w:szCs w:val="20"/>
        </w:rPr>
        <w:t xml:space="preserve">Email accounts are provided primarily for business communication.</w:t>
      </w:r>
    </w:p>
    <w:p>
      <w:pPr>
        <w:pStyle w:val="ListParagraph"/>
        <w:numPr>
          <w:ilvl w:val="0"/>
          <w:numId w:val="2"/>
        </w:numPr>
        <w:spacing w:after="80" w:before="0"/>
      </w:pPr>
      <w:r>
        <w:rPr>
          <w:rFonts w:ascii="Arial" w:cs="Arial" w:eastAsia="Arial" w:hAnsi="Arial"/>
          <w:color w:val="1A1A2E"/>
          <w:sz w:val="20"/>
          <w:szCs w:val="20"/>
        </w:rPr>
        <w:t xml:space="preserve">Limited personal use is permitted provided it does not interfere with work responsibilities.</w:t>
      </w:r>
    </w:p>
    <w:p>
      <w:pPr>
        <w:pStyle w:val="ListParagraph"/>
        <w:numPr>
          <w:ilvl w:val="0"/>
          <w:numId w:val="2"/>
        </w:numPr>
        <w:spacing w:after="80" w:before="0"/>
      </w:pPr>
      <w:r>
        <w:rPr>
          <w:rFonts w:ascii="Arial" w:cs="Arial" w:eastAsia="Arial" w:hAnsi="Arial"/>
          <w:color w:val="1A1A2E"/>
          <w:sz w:val="20"/>
          <w:szCs w:val="20"/>
        </w:rPr>
        <w:t xml:space="preserve">All communications sent from MGT email accounts represent the company and must be professional.</w:t>
      </w:r>
    </w:p>
    <w:p>
      <w:pPr>
        <w:pStyle w:val="ListParagraph"/>
        <w:numPr>
          <w:ilvl w:val="0"/>
          <w:numId w:val="2"/>
        </w:numPr>
        <w:spacing w:after="80" w:before="0"/>
      </w:pPr>
      <w:r>
        <w:rPr>
          <w:rFonts w:ascii="Arial" w:cs="Arial" w:eastAsia="Arial" w:hAnsi="Arial"/>
          <w:color w:val="1A1A2E"/>
          <w:sz w:val="20"/>
          <w:szCs w:val="20"/>
        </w:rPr>
        <w:t xml:space="preserve">Employees should apply the same care to emails as they would to formal written correspondence.</w:t>
      </w:r>
    </w:p>
    <w:p>
      <w:pPr>
        <w:pStyle w:val="Heading2"/>
        <w:spacing w:after="120" w:before="240"/>
      </w:pPr>
      <w:r>
        <w:rPr>
          <w:rFonts w:ascii="Arial" w:cs="Arial" w:eastAsia="Arial" w:hAnsi="Arial"/>
          <w:b/>
          <w:bCs/>
          <w:color w:val="1B3A6B"/>
          <w:sz w:val="26"/>
          <w:szCs w:val="26"/>
        </w:rPr>
        <w:t xml:space="preserve">12.3 Prohibited Uses</w:t>
      </w:r>
    </w:p>
    <w:p>
      <w:pPr>
        <w:spacing w:after="120" w:before="0"/>
      </w:pPr>
      <w:r>
        <w:rPr>
          <w:rFonts w:ascii="Arial" w:cs="Arial" w:eastAsia="Arial" w:hAnsi="Arial"/>
          <w:color w:val="1A1A2E"/>
          <w:sz w:val="20"/>
          <w:szCs w:val="20"/>
        </w:rPr>
        <w:t xml:space="preserve">The following uses of MGT email systems are strictly prohibited:</w:t>
      </w:r>
    </w:p>
    <w:p>
      <w:pPr>
        <w:pStyle w:val="ListParagraph"/>
        <w:numPr>
          <w:ilvl w:val="0"/>
          <w:numId w:val="2"/>
        </w:numPr>
        <w:spacing w:after="80" w:before="0"/>
      </w:pPr>
      <w:r>
        <w:rPr>
          <w:rFonts w:ascii="Arial" w:cs="Arial" w:eastAsia="Arial" w:hAnsi="Arial"/>
          <w:color w:val="1A1A2E"/>
          <w:sz w:val="20"/>
          <w:szCs w:val="20"/>
        </w:rPr>
        <w:t xml:space="preserve">Sending, forwarding, or storing offensive, harassing, or discriminatory content.</w:t>
      </w:r>
    </w:p>
    <w:p>
      <w:pPr>
        <w:pStyle w:val="ListParagraph"/>
        <w:numPr>
          <w:ilvl w:val="0"/>
          <w:numId w:val="2"/>
        </w:numPr>
        <w:spacing w:after="80" w:before="0"/>
      </w:pPr>
      <w:r>
        <w:rPr>
          <w:rFonts w:ascii="Arial" w:cs="Arial" w:eastAsia="Arial" w:hAnsi="Arial"/>
          <w:color w:val="1A1A2E"/>
          <w:sz w:val="20"/>
          <w:szCs w:val="20"/>
        </w:rPr>
        <w:t xml:space="preserve">Transmitting confidential or proprietary information to unauthorised external parties.</w:t>
      </w:r>
    </w:p>
    <w:p>
      <w:pPr>
        <w:pStyle w:val="ListParagraph"/>
        <w:numPr>
          <w:ilvl w:val="0"/>
          <w:numId w:val="2"/>
        </w:numPr>
        <w:spacing w:after="80" w:before="0"/>
      </w:pPr>
      <w:r>
        <w:rPr>
          <w:rFonts w:ascii="Arial" w:cs="Arial" w:eastAsia="Arial" w:hAnsi="Arial"/>
          <w:color w:val="1A1A2E"/>
          <w:sz w:val="20"/>
          <w:szCs w:val="20"/>
        </w:rPr>
        <w:t xml:space="preserve">Sending unsolicited bulk emails (spam) or conducting personal business.</w:t>
      </w:r>
    </w:p>
    <w:p>
      <w:pPr>
        <w:pStyle w:val="ListParagraph"/>
        <w:numPr>
          <w:ilvl w:val="0"/>
          <w:numId w:val="2"/>
        </w:numPr>
        <w:spacing w:after="80" w:before="0"/>
      </w:pPr>
      <w:r>
        <w:rPr>
          <w:rFonts w:ascii="Arial" w:cs="Arial" w:eastAsia="Arial" w:hAnsi="Arial"/>
          <w:color w:val="1A1A2E"/>
          <w:sz w:val="20"/>
          <w:szCs w:val="20"/>
        </w:rPr>
        <w:t xml:space="preserve">Downloading or executing software or attachments from unknown sources.</w:t>
      </w:r>
    </w:p>
    <w:p>
      <w:pPr>
        <w:pStyle w:val="ListParagraph"/>
        <w:numPr>
          <w:ilvl w:val="0"/>
          <w:numId w:val="2"/>
        </w:numPr>
        <w:spacing w:after="80" w:before="0"/>
      </w:pPr>
      <w:r>
        <w:rPr>
          <w:rFonts w:ascii="Arial" w:cs="Arial" w:eastAsia="Arial" w:hAnsi="Arial"/>
          <w:color w:val="1A1A2E"/>
          <w:sz w:val="20"/>
          <w:szCs w:val="20"/>
        </w:rPr>
        <w:t xml:space="preserve">Attempting to access accounts or systems of other employees without authorisation.</w:t>
      </w:r>
    </w:p>
    <w:p>
      <w:pPr>
        <w:pStyle w:val="ListParagraph"/>
        <w:numPr>
          <w:ilvl w:val="0"/>
          <w:numId w:val="2"/>
        </w:numPr>
        <w:spacing w:after="80" w:before="0"/>
      </w:pPr>
      <w:r>
        <w:rPr>
          <w:rFonts w:ascii="Arial" w:cs="Arial" w:eastAsia="Arial" w:hAnsi="Arial"/>
          <w:color w:val="1A1A2E"/>
          <w:sz w:val="20"/>
          <w:szCs w:val="20"/>
        </w:rPr>
        <w:t xml:space="preserve">Engaging in political campaigning or solicitation using company email.</w:t>
      </w:r>
    </w:p>
    <w:p>
      <w:pPr>
        <w:pStyle w:val="Heading2"/>
        <w:spacing w:after="120" w:before="240"/>
      </w:pPr>
      <w:r>
        <w:rPr>
          <w:rFonts w:ascii="Arial" w:cs="Arial" w:eastAsia="Arial" w:hAnsi="Arial"/>
          <w:b/>
          <w:bCs/>
          <w:color w:val="1B3A6B"/>
          <w:sz w:val="26"/>
          <w:szCs w:val="26"/>
        </w:rPr>
        <w:t xml:space="preserve">12.4 Security Practices</w:t>
      </w:r>
    </w:p>
    <w:p>
      <w:pPr>
        <w:pStyle w:val="ListParagraph"/>
        <w:numPr>
          <w:ilvl w:val="0"/>
          <w:numId w:val="2"/>
        </w:numPr>
        <w:spacing w:after="80" w:before="0"/>
      </w:pPr>
      <w:r>
        <w:rPr>
          <w:rFonts w:ascii="Arial" w:cs="Arial" w:eastAsia="Arial" w:hAnsi="Arial"/>
          <w:color w:val="1A1A2E"/>
          <w:sz w:val="20"/>
          <w:szCs w:val="20"/>
        </w:rPr>
        <w:t xml:space="preserve">Employees must not share their email credentials with any other person.</w:t>
      </w:r>
    </w:p>
    <w:p>
      <w:pPr>
        <w:pStyle w:val="ListParagraph"/>
        <w:numPr>
          <w:ilvl w:val="0"/>
          <w:numId w:val="2"/>
        </w:numPr>
        <w:spacing w:after="80" w:before="0"/>
      </w:pPr>
      <w:r>
        <w:rPr>
          <w:rFonts w:ascii="Arial" w:cs="Arial" w:eastAsia="Arial" w:hAnsi="Arial"/>
          <w:color w:val="1A1A2E"/>
          <w:sz w:val="20"/>
          <w:szCs w:val="20"/>
        </w:rPr>
        <w:t xml:space="preserve">Phishing or suspicious emails must be reported to IT immediately; never click suspicious links.</w:t>
      </w:r>
    </w:p>
    <w:p>
      <w:pPr>
        <w:pStyle w:val="ListParagraph"/>
        <w:numPr>
          <w:ilvl w:val="0"/>
          <w:numId w:val="2"/>
        </w:numPr>
        <w:spacing w:after="80" w:before="0"/>
      </w:pPr>
      <w:r>
        <w:rPr>
          <w:rFonts w:ascii="Arial" w:cs="Arial" w:eastAsia="Arial" w:hAnsi="Arial"/>
          <w:color w:val="1A1A2E"/>
          <w:sz w:val="20"/>
          <w:szCs w:val="20"/>
        </w:rPr>
        <w:t xml:space="preserve">Sensitive information must be encrypted when sent externally.</w:t>
      </w:r>
    </w:p>
    <w:p>
      <w:pPr>
        <w:pStyle w:val="ListParagraph"/>
        <w:numPr>
          <w:ilvl w:val="0"/>
          <w:numId w:val="2"/>
        </w:numPr>
        <w:spacing w:after="80" w:before="0"/>
      </w:pPr>
      <w:r>
        <w:rPr>
          <w:rFonts w:ascii="Arial" w:cs="Arial" w:eastAsia="Arial" w:hAnsi="Arial"/>
          <w:color w:val="1A1A2E"/>
          <w:sz w:val="20"/>
          <w:szCs w:val="20"/>
        </w:rPr>
        <w:t xml:space="preserve">Email auto-forwarding to personal accounts is prohibited without IT approval.</w:t>
      </w:r>
    </w:p>
    <w:p>
      <w:pPr>
        <w:pStyle w:val="Heading2"/>
        <w:spacing w:after="120" w:before="240"/>
      </w:pPr>
      <w:r>
        <w:rPr>
          <w:rFonts w:ascii="Arial" w:cs="Arial" w:eastAsia="Arial" w:hAnsi="Arial"/>
          <w:b/>
          <w:bCs/>
          <w:color w:val="1B3A6B"/>
          <w:sz w:val="26"/>
          <w:szCs w:val="26"/>
        </w:rPr>
        <w:t xml:space="preserve">12.5 Retention &amp; Archiving</w:t>
      </w:r>
    </w:p>
    <w:p>
      <w:pPr>
        <w:spacing w:after="120" w:before="0"/>
      </w:pPr>
      <w:r>
        <w:rPr>
          <w:rFonts w:ascii="Arial" w:cs="Arial" w:eastAsia="Arial" w:hAnsi="Arial"/>
          <w:color w:val="1A1A2E"/>
          <w:sz w:val="20"/>
          <w:szCs w:val="20"/>
        </w:rPr>
        <w:t xml:space="preserve">Company emails are subject to MGT's data retention schedules. Business-related emails must be retained for a minimum of 5 years. Employees must not delete emails that are subject to a legal hold or investigation.</w:t>
      </w:r>
    </w:p>
    <w:p>
      <w:pPr>
        <w:pStyle w:val="Heading2"/>
        <w:spacing w:after="120" w:before="240"/>
      </w:pPr>
      <w:r>
        <w:rPr>
          <w:rFonts w:ascii="Arial" w:cs="Arial" w:eastAsia="Arial" w:hAnsi="Arial"/>
          <w:b/>
          <w:bCs/>
          <w:color w:val="1B3A6B"/>
          <w:sz w:val="26"/>
          <w:szCs w:val="26"/>
        </w:rPr>
        <w:t xml:space="preserve">12.6 Monitoring</w:t>
      </w:r>
    </w:p>
    <w:p>
      <w:pPr>
        <w:spacing w:after="120" w:before="0"/>
      </w:pPr>
      <w:r>
        <w:rPr>
          <w:rFonts w:ascii="Arial" w:cs="Arial" w:eastAsia="Arial" w:hAnsi="Arial"/>
          <w:color w:val="1A1A2E"/>
          <w:sz w:val="20"/>
          <w:szCs w:val="20"/>
        </w:rPr>
        <w:t xml:space="preserve">MGT reserves the right to monitor, access, and review email communications on company systems for purposes of security, compliance, and legitimate business management. Employees should have no expectation of privacy in their use of company email systems.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13</w:t>
            </w:r>
          </w:p>
          <w:p>
            <w:pPr>
              <w:spacing w:after="0" w:before="0"/>
            </w:pPr>
            <w:r>
              <w:rPr>
                <w:rFonts w:ascii="Arial" w:cs="Arial" w:eastAsia="Arial" w:hAnsi="Arial"/>
                <w:b/>
                <w:bCs/>
                <w:color w:val="FFFFFF"/>
                <w:sz w:val="32"/>
                <w:szCs w:val="32"/>
              </w:rPr>
              <w:t xml:space="preserve">Harassment and Discrimination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HR / Legal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contractors, and visitors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13.1 Purpose</w:t>
      </w:r>
    </w:p>
    <w:p>
      <w:pPr>
        <w:spacing w:after="120" w:before="0"/>
      </w:pPr>
      <w:r>
        <w:rPr>
          <w:rFonts w:ascii="Arial" w:cs="Arial" w:eastAsia="Arial" w:hAnsi="Arial"/>
          <w:color w:val="1A1A2E"/>
          <w:sz w:val="20"/>
          <w:szCs w:val="20"/>
        </w:rPr>
        <w:t xml:space="preserve">MGT is committed to providing a workplace that is free from all forms of harassment and discrimination. This policy defines prohibited conduct, outlines how complaints are handled, and communicates our commitment to zero tolerance.</w:t>
      </w:r>
    </w:p>
    <w:p>
      <w:pPr>
        <w:pStyle w:val="Heading2"/>
        <w:spacing w:after="120" w:before="240"/>
      </w:pPr>
      <w:r>
        <w:rPr>
          <w:rFonts w:ascii="Arial" w:cs="Arial" w:eastAsia="Arial" w:hAnsi="Arial"/>
          <w:b/>
          <w:bCs/>
          <w:color w:val="1B3A6B"/>
          <w:sz w:val="26"/>
          <w:szCs w:val="26"/>
        </w:rPr>
        <w:t xml:space="preserve">13.2 Definitions</w:t>
      </w:r>
    </w:p>
    <w:p>
      <w:pPr>
        <w:pStyle w:val="Heading3"/>
        <w:spacing w:after="80" w:before="180"/>
      </w:pPr>
      <w:r>
        <w:rPr>
          <w:rFonts w:ascii="Arial" w:cs="Arial" w:eastAsia="Arial" w:hAnsi="Arial"/>
          <w:b/>
          <w:bCs/>
          <w:color w:val="555555"/>
          <w:sz w:val="22"/>
          <w:szCs w:val="22"/>
        </w:rPr>
        <w:t xml:space="preserve">13.2.1 Harassment</w:t>
      </w:r>
    </w:p>
    <w:p>
      <w:pPr>
        <w:spacing w:after="120" w:before="0"/>
      </w:pPr>
      <w:r>
        <w:rPr>
          <w:rFonts w:ascii="Arial" w:cs="Arial" w:eastAsia="Arial" w:hAnsi="Arial"/>
          <w:color w:val="1A1A2E"/>
          <w:sz w:val="20"/>
          <w:szCs w:val="20"/>
        </w:rPr>
        <w:t xml:space="preserve">Unwanted conduct related to a protected characteristic that has the purpose or effect of violating a person's dignity or creating an intimidating, hostile, degrading, humiliating, or offensive environment. This includes:</w:t>
      </w:r>
    </w:p>
    <w:p>
      <w:pPr>
        <w:pStyle w:val="ListParagraph"/>
        <w:numPr>
          <w:ilvl w:val="0"/>
          <w:numId w:val="2"/>
        </w:numPr>
        <w:spacing w:after="80" w:before="0"/>
      </w:pPr>
      <w:r>
        <w:rPr>
          <w:rFonts w:ascii="Arial" w:cs="Arial" w:eastAsia="Arial" w:hAnsi="Arial"/>
          <w:color w:val="1A1A2E"/>
          <w:sz w:val="20"/>
          <w:szCs w:val="20"/>
        </w:rPr>
        <w:t xml:space="preserve">Verbal harassment: offensive jokes, slurs, derogatory language.</w:t>
      </w:r>
    </w:p>
    <w:p>
      <w:pPr>
        <w:pStyle w:val="ListParagraph"/>
        <w:numPr>
          <w:ilvl w:val="0"/>
          <w:numId w:val="2"/>
        </w:numPr>
        <w:spacing w:after="80" w:before="0"/>
      </w:pPr>
      <w:r>
        <w:rPr>
          <w:rFonts w:ascii="Arial" w:cs="Arial" w:eastAsia="Arial" w:hAnsi="Arial"/>
          <w:color w:val="1A1A2E"/>
          <w:sz w:val="20"/>
          <w:szCs w:val="20"/>
        </w:rPr>
        <w:t xml:space="preserve">Physical harassment: unwanted touching, invasion of personal space.</w:t>
      </w:r>
    </w:p>
    <w:p>
      <w:pPr>
        <w:pStyle w:val="ListParagraph"/>
        <w:numPr>
          <w:ilvl w:val="0"/>
          <w:numId w:val="2"/>
        </w:numPr>
        <w:spacing w:after="80" w:before="0"/>
      </w:pPr>
      <w:r>
        <w:rPr>
          <w:rFonts w:ascii="Arial" w:cs="Arial" w:eastAsia="Arial" w:hAnsi="Arial"/>
          <w:color w:val="1A1A2E"/>
          <w:sz w:val="20"/>
          <w:szCs w:val="20"/>
        </w:rPr>
        <w:t xml:space="preserve">Visual harassment: offensive images, gestures, or displays.</w:t>
      </w:r>
    </w:p>
    <w:p>
      <w:pPr>
        <w:pStyle w:val="ListParagraph"/>
        <w:numPr>
          <w:ilvl w:val="0"/>
          <w:numId w:val="2"/>
        </w:numPr>
        <w:spacing w:after="80" w:before="0"/>
      </w:pPr>
      <w:r>
        <w:rPr>
          <w:rFonts w:ascii="Arial" w:cs="Arial" w:eastAsia="Arial" w:hAnsi="Arial"/>
          <w:color w:val="1A1A2E"/>
          <w:sz w:val="20"/>
          <w:szCs w:val="20"/>
        </w:rPr>
        <w:t xml:space="preserve">Cyber harassment: offensive messages, social media posts, or online conduct.</w:t>
      </w:r>
    </w:p>
    <w:p>
      <w:pPr>
        <w:pStyle w:val="Heading3"/>
        <w:spacing w:after="80" w:before="180"/>
      </w:pPr>
      <w:r>
        <w:rPr>
          <w:rFonts w:ascii="Arial" w:cs="Arial" w:eastAsia="Arial" w:hAnsi="Arial"/>
          <w:b/>
          <w:bCs/>
          <w:color w:val="555555"/>
          <w:sz w:val="22"/>
          <w:szCs w:val="22"/>
        </w:rPr>
        <w:t xml:space="preserve">13.2.2 Sexual Harassment</w:t>
      </w:r>
    </w:p>
    <w:p>
      <w:pPr>
        <w:spacing w:after="120" w:before="0"/>
      </w:pPr>
      <w:r>
        <w:rPr>
          <w:rFonts w:ascii="Arial" w:cs="Arial" w:eastAsia="Arial" w:hAnsi="Arial"/>
          <w:color w:val="1A1A2E"/>
          <w:sz w:val="20"/>
          <w:szCs w:val="20"/>
        </w:rPr>
        <w:t xml:space="preserve">Any unwanted conduct of a sexual nature, including sexual advances, requests for sexual favours, or any other verbal, non-verbal, or physical conduct of a sexual nature where:</w:t>
      </w:r>
    </w:p>
    <w:p>
      <w:pPr>
        <w:pStyle w:val="ListParagraph"/>
        <w:numPr>
          <w:ilvl w:val="0"/>
          <w:numId w:val="2"/>
        </w:numPr>
        <w:spacing w:after="80" w:before="0"/>
      </w:pPr>
      <w:r>
        <w:rPr>
          <w:rFonts w:ascii="Arial" w:cs="Arial" w:eastAsia="Arial" w:hAnsi="Arial"/>
          <w:color w:val="1A1A2E"/>
          <w:sz w:val="20"/>
          <w:szCs w:val="20"/>
        </w:rPr>
        <w:t xml:space="preserve">The conduct is experienced as unwelcome.</w:t>
      </w:r>
    </w:p>
    <w:p>
      <w:pPr>
        <w:pStyle w:val="ListParagraph"/>
        <w:numPr>
          <w:ilvl w:val="0"/>
          <w:numId w:val="2"/>
        </w:numPr>
        <w:spacing w:after="80" w:before="0"/>
      </w:pPr>
      <w:r>
        <w:rPr>
          <w:rFonts w:ascii="Arial" w:cs="Arial" w:eastAsia="Arial" w:hAnsi="Arial"/>
          <w:color w:val="1A1A2E"/>
          <w:sz w:val="20"/>
          <w:szCs w:val="20"/>
        </w:rPr>
        <w:t xml:space="preserve">Submission to or rejection of the conduct affects employment decisions.</w:t>
      </w:r>
    </w:p>
    <w:p>
      <w:pPr>
        <w:pStyle w:val="ListParagraph"/>
        <w:numPr>
          <w:ilvl w:val="0"/>
          <w:numId w:val="2"/>
        </w:numPr>
        <w:spacing w:after="80" w:before="0"/>
      </w:pPr>
      <w:r>
        <w:rPr>
          <w:rFonts w:ascii="Arial" w:cs="Arial" w:eastAsia="Arial" w:hAnsi="Arial"/>
          <w:color w:val="1A1A2E"/>
          <w:sz w:val="20"/>
          <w:szCs w:val="20"/>
        </w:rPr>
        <w:t xml:space="preserve">The conduct creates a hostile work environment.</w:t>
      </w:r>
    </w:p>
    <w:p>
      <w:pPr>
        <w:pStyle w:val="Heading3"/>
        <w:spacing w:after="80" w:before="180"/>
      </w:pPr>
      <w:r>
        <w:rPr>
          <w:rFonts w:ascii="Arial" w:cs="Arial" w:eastAsia="Arial" w:hAnsi="Arial"/>
          <w:b/>
          <w:bCs/>
          <w:color w:val="555555"/>
          <w:sz w:val="22"/>
          <w:szCs w:val="22"/>
        </w:rPr>
        <w:t xml:space="preserve">13.2.3 Discrimination</w:t>
      </w:r>
    </w:p>
    <w:p>
      <w:pPr>
        <w:spacing w:after="120" w:before="0"/>
      </w:pPr>
      <w:r>
        <w:rPr>
          <w:rFonts w:ascii="Arial" w:cs="Arial" w:eastAsia="Arial" w:hAnsi="Arial"/>
          <w:color w:val="1A1A2E"/>
          <w:sz w:val="20"/>
          <w:szCs w:val="20"/>
        </w:rPr>
        <w:t xml:space="preserve">Treating an individual less favourably because of a protected characteristic (see Policy 02) in any aspect of employment.</w:t>
      </w:r>
    </w:p>
    <w:p>
      <w:pPr>
        <w:pStyle w:val="Heading2"/>
        <w:spacing w:after="120" w:before="240"/>
      </w:pPr>
      <w:r>
        <w:rPr>
          <w:rFonts w:ascii="Arial" w:cs="Arial" w:eastAsia="Arial" w:hAnsi="Arial"/>
          <w:b/>
          <w:bCs/>
          <w:color w:val="1B3A6B"/>
          <w:sz w:val="26"/>
          <w:szCs w:val="26"/>
        </w:rPr>
        <w:t xml:space="preserve">13.3 Reporting Procedure</w:t>
      </w:r>
    </w:p>
    <w:p>
      <w:pPr>
        <w:pStyle w:val="ListParagraph"/>
        <w:numPr>
          <w:ilvl w:val="0"/>
          <w:numId w:val="3"/>
        </w:numPr>
        <w:spacing w:after="80" w:before="0"/>
      </w:pPr>
      <w:r>
        <w:rPr>
          <w:rFonts w:ascii="Arial" w:cs="Arial" w:eastAsia="Arial" w:hAnsi="Arial"/>
          <w:color w:val="1A1A2E"/>
          <w:sz w:val="20"/>
          <w:szCs w:val="20"/>
        </w:rPr>
        <w:t xml:space="preserve">The affected person should, if comfortable, ask the perpetrator to stop.</w:t>
      </w:r>
    </w:p>
    <w:p>
      <w:pPr>
        <w:pStyle w:val="ListParagraph"/>
        <w:numPr>
          <w:ilvl w:val="0"/>
          <w:numId w:val="3"/>
        </w:numPr>
        <w:spacing w:after="80" w:before="0"/>
      </w:pPr>
      <w:r>
        <w:rPr>
          <w:rFonts w:ascii="Arial" w:cs="Arial" w:eastAsia="Arial" w:hAnsi="Arial"/>
          <w:color w:val="1A1A2E"/>
          <w:sz w:val="20"/>
          <w:szCs w:val="20"/>
        </w:rPr>
        <w:t xml:space="preserve">Document all incidents (dates, times, witnesses, what occurred).</w:t>
      </w:r>
    </w:p>
    <w:p>
      <w:pPr>
        <w:pStyle w:val="ListParagraph"/>
        <w:numPr>
          <w:ilvl w:val="0"/>
          <w:numId w:val="3"/>
        </w:numPr>
        <w:spacing w:after="80" w:before="0"/>
      </w:pPr>
      <w:r>
        <w:rPr>
          <w:rFonts w:ascii="Arial" w:cs="Arial" w:eastAsia="Arial" w:hAnsi="Arial"/>
          <w:color w:val="1A1A2E"/>
          <w:sz w:val="20"/>
          <w:szCs w:val="20"/>
        </w:rPr>
        <w:t xml:space="preserve">Report to HR or use the grievance procedure (Policy 18).</w:t>
      </w:r>
    </w:p>
    <w:p>
      <w:pPr>
        <w:pStyle w:val="ListParagraph"/>
        <w:numPr>
          <w:ilvl w:val="0"/>
          <w:numId w:val="3"/>
        </w:numPr>
        <w:spacing w:after="80" w:before="0"/>
      </w:pPr>
      <w:r>
        <w:rPr>
          <w:rFonts w:ascii="Arial" w:cs="Arial" w:eastAsia="Arial" w:hAnsi="Arial"/>
          <w:color w:val="1A1A2E"/>
          <w:sz w:val="20"/>
          <w:szCs w:val="20"/>
        </w:rPr>
        <w:t xml:space="preserve">HR will acknowledge receipt within 3 working days and initiate an investigation.</w:t>
      </w:r>
    </w:p>
    <w:p>
      <w:pPr>
        <w:pStyle w:val="Heading2"/>
        <w:spacing w:after="120" w:before="240"/>
      </w:pPr>
      <w:r>
        <w:rPr>
          <w:rFonts w:ascii="Arial" w:cs="Arial" w:eastAsia="Arial" w:hAnsi="Arial"/>
          <w:b/>
          <w:bCs/>
          <w:color w:val="1B3A6B"/>
          <w:sz w:val="26"/>
          <w:szCs w:val="26"/>
        </w:rPr>
        <w:t xml:space="preserve">13.4 Investigation</w:t>
      </w:r>
    </w:p>
    <w:p>
      <w:pPr>
        <w:spacing w:after="120" w:before="0"/>
      </w:pPr>
      <w:r>
        <w:rPr>
          <w:rFonts w:ascii="Arial" w:cs="Arial" w:eastAsia="Arial" w:hAnsi="Arial"/>
          <w:color w:val="1A1A2E"/>
          <w:sz w:val="20"/>
          <w:szCs w:val="20"/>
        </w:rPr>
        <w:t xml:space="preserve">All complaints will be investigated by HR or an independent investigator. The investigation will be:</w:t>
      </w:r>
    </w:p>
    <w:p>
      <w:pPr>
        <w:pStyle w:val="ListParagraph"/>
        <w:numPr>
          <w:ilvl w:val="0"/>
          <w:numId w:val="2"/>
        </w:numPr>
        <w:spacing w:after="80" w:before="0"/>
      </w:pPr>
      <w:r>
        <w:rPr>
          <w:rFonts w:ascii="Arial" w:cs="Arial" w:eastAsia="Arial" w:hAnsi="Arial"/>
          <w:color w:val="1A1A2E"/>
          <w:sz w:val="20"/>
          <w:szCs w:val="20"/>
        </w:rPr>
        <w:t xml:space="preserve">Prompt and thorough.</w:t>
      </w:r>
    </w:p>
    <w:p>
      <w:pPr>
        <w:pStyle w:val="ListParagraph"/>
        <w:numPr>
          <w:ilvl w:val="0"/>
          <w:numId w:val="2"/>
        </w:numPr>
        <w:spacing w:after="80" w:before="0"/>
      </w:pPr>
      <w:r>
        <w:rPr>
          <w:rFonts w:ascii="Arial" w:cs="Arial" w:eastAsia="Arial" w:hAnsi="Arial"/>
          <w:color w:val="1A1A2E"/>
          <w:sz w:val="20"/>
          <w:szCs w:val="20"/>
        </w:rPr>
        <w:t xml:space="preserve">Fair to all parties, including the accused.</w:t>
      </w:r>
    </w:p>
    <w:p>
      <w:pPr>
        <w:pStyle w:val="ListParagraph"/>
        <w:numPr>
          <w:ilvl w:val="0"/>
          <w:numId w:val="2"/>
        </w:numPr>
        <w:spacing w:after="80" w:before="0"/>
      </w:pPr>
      <w:r>
        <w:rPr>
          <w:rFonts w:ascii="Arial" w:cs="Arial" w:eastAsia="Arial" w:hAnsi="Arial"/>
          <w:color w:val="1A1A2E"/>
          <w:sz w:val="20"/>
          <w:szCs w:val="20"/>
        </w:rPr>
        <w:t xml:space="preserve">Conducted with strict confidentiality.</w:t>
      </w:r>
    </w:p>
    <w:p>
      <w:pPr>
        <w:pStyle w:val="ListParagraph"/>
        <w:numPr>
          <w:ilvl w:val="0"/>
          <w:numId w:val="2"/>
        </w:numPr>
        <w:spacing w:after="80" w:before="0"/>
      </w:pPr>
      <w:r>
        <w:rPr>
          <w:rFonts w:ascii="Arial" w:cs="Arial" w:eastAsia="Arial" w:hAnsi="Arial"/>
          <w:color w:val="1A1A2E"/>
          <w:sz w:val="20"/>
          <w:szCs w:val="20"/>
        </w:rPr>
        <w:t xml:space="preserve">Completed within 30 working days wherever possible.</w:t>
      </w:r>
    </w:p>
    <w:p>
      <w:pPr>
        <w:pStyle w:val="Heading2"/>
        <w:spacing w:after="120" w:before="240"/>
      </w:pPr>
      <w:r>
        <w:rPr>
          <w:rFonts w:ascii="Arial" w:cs="Arial" w:eastAsia="Arial" w:hAnsi="Arial"/>
          <w:b/>
          <w:bCs/>
          <w:color w:val="1B3A6B"/>
          <w:sz w:val="26"/>
          <w:szCs w:val="26"/>
        </w:rPr>
        <w:t xml:space="preserve">13.5 Consequences</w:t>
      </w:r>
    </w:p>
    <w:p>
      <w:pPr>
        <w:spacing w:after="120" w:before="0"/>
      </w:pPr>
      <w:r>
        <w:rPr>
          <w:rFonts w:ascii="Arial" w:cs="Arial" w:eastAsia="Arial" w:hAnsi="Arial"/>
          <w:color w:val="1A1A2E"/>
          <w:sz w:val="20"/>
          <w:szCs w:val="20"/>
        </w:rPr>
        <w:t xml:space="preserve">Confirmed cases of harassment or discrimination will result in disciplinary action proportionate to the severity of the conduct, up to and including immediate dismissal. Referral to law enforcement authorities may occur in cases involving criminal conduct.</w:t>
      </w:r>
    </w:p>
    <w:p>
      <w:pPr>
        <w:pStyle w:val="Heading2"/>
        <w:spacing w:after="120" w:before="240"/>
      </w:pPr>
      <w:r>
        <w:rPr>
          <w:rFonts w:ascii="Arial" w:cs="Arial" w:eastAsia="Arial" w:hAnsi="Arial"/>
          <w:b/>
          <w:bCs/>
          <w:color w:val="1B3A6B"/>
          <w:sz w:val="26"/>
          <w:szCs w:val="26"/>
        </w:rPr>
        <w:t xml:space="preserve">13.6 Anti-Retaliation</w:t>
      </w:r>
    </w:p>
    <w:p>
      <w:pPr>
        <w:spacing w:after="120" w:before="0"/>
      </w:pPr>
      <w:r>
        <w:rPr>
          <w:rFonts w:ascii="Arial" w:cs="Arial" w:eastAsia="Arial" w:hAnsi="Arial"/>
          <w:color w:val="1A1A2E"/>
          <w:sz w:val="20"/>
          <w:szCs w:val="20"/>
        </w:rPr>
        <w:t xml:space="preserve">Retaliation against any person who reports harassment or discrimination in good faith is strictly prohibited and is itself grounds for disciplinary action.</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14</w:t>
            </w:r>
          </w:p>
          <w:p>
            <w:pPr>
              <w:spacing w:after="0" w:before="0"/>
            </w:pPr>
            <w:r>
              <w:rPr>
                <w:rFonts w:ascii="Arial" w:cs="Arial" w:eastAsia="Arial" w:hAnsi="Arial"/>
                <w:b/>
                <w:bCs/>
                <w:color w:val="FFFFFF"/>
                <w:sz w:val="32"/>
                <w:szCs w:val="32"/>
              </w:rPr>
              <w:t xml:space="preserve">Recruitment and Selection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hiring managers and HR staff</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14.1 Purpose</w:t>
      </w:r>
    </w:p>
    <w:p>
      <w:pPr>
        <w:spacing w:after="120" w:before="0"/>
      </w:pPr>
      <w:r>
        <w:rPr>
          <w:rFonts w:ascii="Arial" w:cs="Arial" w:eastAsia="Arial" w:hAnsi="Arial"/>
          <w:color w:val="1A1A2E"/>
          <w:sz w:val="20"/>
          <w:szCs w:val="20"/>
        </w:rPr>
        <w:t xml:space="preserve">This policy ensures that MGT attracts, selects, and appoints the most suitable candidates for all positions through a fair, transparent, and consistent process that aligns with our EEO commitments.</w:t>
      </w:r>
    </w:p>
    <w:p>
      <w:pPr>
        <w:pStyle w:val="Heading2"/>
        <w:spacing w:after="120" w:before="240"/>
      </w:pPr>
      <w:r>
        <w:rPr>
          <w:rFonts w:ascii="Arial" w:cs="Arial" w:eastAsia="Arial" w:hAnsi="Arial"/>
          <w:b/>
          <w:bCs/>
          <w:color w:val="1B3A6B"/>
          <w:sz w:val="26"/>
          <w:szCs w:val="26"/>
        </w:rPr>
        <w:t xml:space="preserve">14.2 Guiding Principles</w:t>
      </w:r>
    </w:p>
    <w:p>
      <w:pPr>
        <w:pStyle w:val="ListParagraph"/>
        <w:numPr>
          <w:ilvl w:val="0"/>
          <w:numId w:val="2"/>
        </w:numPr>
        <w:spacing w:after="80" w:before="0"/>
      </w:pPr>
      <w:r>
        <w:rPr>
          <w:rFonts w:ascii="Arial" w:cs="Arial" w:eastAsia="Arial" w:hAnsi="Arial"/>
          <w:color w:val="1A1A2E"/>
          <w:sz w:val="20"/>
          <w:szCs w:val="20"/>
        </w:rPr>
        <w:t xml:space="preserve">Recruitment decisions are based on merit, skills, and competencies relevant to the role.</w:t>
      </w:r>
    </w:p>
    <w:p>
      <w:pPr>
        <w:pStyle w:val="ListParagraph"/>
        <w:numPr>
          <w:ilvl w:val="0"/>
          <w:numId w:val="2"/>
        </w:numPr>
        <w:spacing w:after="80" w:before="0"/>
      </w:pPr>
      <w:r>
        <w:rPr>
          <w:rFonts w:ascii="Arial" w:cs="Arial" w:eastAsia="Arial" w:hAnsi="Arial"/>
          <w:color w:val="1A1A2E"/>
          <w:sz w:val="20"/>
          <w:szCs w:val="20"/>
        </w:rPr>
        <w:t xml:space="preserve">All candidates are treated equitably, with dignity and respect.</w:t>
      </w:r>
    </w:p>
    <w:p>
      <w:pPr>
        <w:pStyle w:val="ListParagraph"/>
        <w:numPr>
          <w:ilvl w:val="0"/>
          <w:numId w:val="2"/>
        </w:numPr>
        <w:spacing w:after="80" w:before="0"/>
      </w:pPr>
      <w:r>
        <w:rPr>
          <w:rFonts w:ascii="Arial" w:cs="Arial" w:eastAsia="Arial" w:hAnsi="Arial"/>
          <w:color w:val="1A1A2E"/>
          <w:sz w:val="20"/>
          <w:szCs w:val="20"/>
        </w:rPr>
        <w:t xml:space="preserve">The process is conducted in compliance with EEO legislation and Policy 02.</w:t>
      </w:r>
    </w:p>
    <w:p>
      <w:pPr>
        <w:pStyle w:val="ListParagraph"/>
        <w:numPr>
          <w:ilvl w:val="0"/>
          <w:numId w:val="2"/>
        </w:numPr>
        <w:spacing w:after="80" w:before="0"/>
      </w:pPr>
      <w:r>
        <w:rPr>
          <w:rFonts w:ascii="Arial" w:cs="Arial" w:eastAsia="Arial" w:hAnsi="Arial"/>
          <w:color w:val="1A1A2E"/>
          <w:sz w:val="20"/>
          <w:szCs w:val="20"/>
        </w:rPr>
        <w:t xml:space="preserve">Employment equity considerations are factored in where applicable.</w:t>
      </w:r>
    </w:p>
    <w:p>
      <w:pPr>
        <w:pStyle w:val="Heading2"/>
        <w:spacing w:after="120" w:before="240"/>
      </w:pPr>
      <w:r>
        <w:rPr>
          <w:rFonts w:ascii="Arial" w:cs="Arial" w:eastAsia="Arial" w:hAnsi="Arial"/>
          <w:b/>
          <w:bCs/>
          <w:color w:val="1B3A6B"/>
          <w:sz w:val="26"/>
          <w:szCs w:val="26"/>
        </w:rPr>
        <w:t xml:space="preserve">14.3 Recruitment Process</w:t>
      </w:r>
    </w:p>
    <w:p>
      <w:pPr>
        <w:pStyle w:val="Heading3"/>
        <w:spacing w:after="80" w:before="180"/>
      </w:pPr>
      <w:r>
        <w:rPr>
          <w:rFonts w:ascii="Arial" w:cs="Arial" w:eastAsia="Arial" w:hAnsi="Arial"/>
          <w:b/>
          <w:bCs/>
          <w:color w:val="555555"/>
          <w:sz w:val="22"/>
          <w:szCs w:val="22"/>
        </w:rPr>
        <w:t xml:space="preserve">Step 1: Workforce Planning &amp; Authorisation</w:t>
      </w:r>
    </w:p>
    <w:p>
      <w:pPr>
        <w:spacing w:after="120" w:before="0"/>
      </w:pPr>
      <w:r>
        <w:rPr>
          <w:rFonts w:ascii="Arial" w:cs="Arial" w:eastAsia="Arial" w:hAnsi="Arial"/>
          <w:color w:val="1A1A2E"/>
          <w:sz w:val="20"/>
          <w:szCs w:val="20"/>
        </w:rPr>
        <w:t xml:space="preserve">All new positions or replacements must be approved by the relevant department head and HR before being advertised. A Position Description (PD) and Selection Criteria document must be prepared.</w:t>
      </w:r>
    </w:p>
    <w:p>
      <w:pPr>
        <w:pStyle w:val="Heading3"/>
        <w:spacing w:after="80" w:before="180"/>
      </w:pPr>
      <w:r>
        <w:rPr>
          <w:rFonts w:ascii="Arial" w:cs="Arial" w:eastAsia="Arial" w:hAnsi="Arial"/>
          <w:b/>
          <w:bCs/>
          <w:color w:val="555555"/>
          <w:sz w:val="22"/>
          <w:szCs w:val="22"/>
        </w:rPr>
        <w:t xml:space="preserve">Step 2: Advertising</w:t>
      </w:r>
    </w:p>
    <w:p>
      <w:pPr>
        <w:spacing w:after="120" w:before="0"/>
      </w:pPr>
      <w:r>
        <w:rPr>
          <w:rFonts w:ascii="Arial" w:cs="Arial" w:eastAsia="Arial" w:hAnsi="Arial"/>
          <w:color w:val="1A1A2E"/>
          <w:sz w:val="20"/>
          <w:szCs w:val="20"/>
        </w:rPr>
        <w:t xml:space="preserve">Positions must be advertised internally for a minimum of 5 working days before external advertising. External advertising may be placed on approved job platforms, the company website, or via authorised recruitment agencies.</w:t>
      </w:r>
    </w:p>
    <w:p>
      <w:pPr>
        <w:pStyle w:val="Heading3"/>
        <w:spacing w:after="80" w:before="180"/>
      </w:pPr>
      <w:r>
        <w:rPr>
          <w:rFonts w:ascii="Arial" w:cs="Arial" w:eastAsia="Arial" w:hAnsi="Arial"/>
          <w:b/>
          <w:bCs/>
          <w:color w:val="555555"/>
          <w:sz w:val="22"/>
          <w:szCs w:val="22"/>
        </w:rPr>
        <w:t xml:space="preserve">Step 3: Shortlisting</w:t>
      </w:r>
    </w:p>
    <w:p>
      <w:pPr>
        <w:spacing w:after="120" w:before="0"/>
      </w:pPr>
      <w:r>
        <w:rPr>
          <w:rFonts w:ascii="Arial" w:cs="Arial" w:eastAsia="Arial" w:hAnsi="Arial"/>
          <w:color w:val="1A1A2E"/>
          <w:sz w:val="20"/>
          <w:szCs w:val="20"/>
        </w:rPr>
        <w:t xml:space="preserve">HR, in conjunction with the hiring manager, will shortlist candidates against the selection criteria. A minimum of 3 candidates will be shortlisted where possible.</w:t>
      </w:r>
    </w:p>
    <w:p>
      <w:pPr>
        <w:pStyle w:val="Heading3"/>
        <w:spacing w:after="80" w:before="180"/>
      </w:pPr>
      <w:r>
        <w:rPr>
          <w:rFonts w:ascii="Arial" w:cs="Arial" w:eastAsia="Arial" w:hAnsi="Arial"/>
          <w:b/>
          <w:bCs/>
          <w:color w:val="555555"/>
          <w:sz w:val="22"/>
          <w:szCs w:val="22"/>
        </w:rPr>
        <w:t xml:space="preserve">Step 4: Interviews &amp; Assessment</w:t>
      </w:r>
    </w:p>
    <w:p>
      <w:pPr>
        <w:spacing w:after="120" w:before="0"/>
      </w:pPr>
      <w:r>
        <w:rPr>
          <w:rFonts w:ascii="Arial" w:cs="Arial" w:eastAsia="Arial" w:hAnsi="Arial"/>
          <w:color w:val="1A1A2E"/>
          <w:sz w:val="20"/>
          <w:szCs w:val="20"/>
        </w:rPr>
        <w:t xml:space="preserve">Structured, competency-based interviews will be conducted by an interview panel of at least 2 assessors. Assessment tools (psychometric tests, skills assessments) may be used where appropriate.</w:t>
      </w:r>
    </w:p>
    <w:p>
      <w:pPr>
        <w:pStyle w:val="Heading3"/>
        <w:spacing w:after="80" w:before="180"/>
      </w:pPr>
      <w:r>
        <w:rPr>
          <w:rFonts w:ascii="Arial" w:cs="Arial" w:eastAsia="Arial" w:hAnsi="Arial"/>
          <w:b/>
          <w:bCs/>
          <w:color w:val="555555"/>
          <w:sz w:val="22"/>
          <w:szCs w:val="22"/>
        </w:rPr>
        <w:t xml:space="preserve">Step 5: Pre-Employment Checks</w:t>
      </w:r>
    </w:p>
    <w:p>
      <w:pPr>
        <w:spacing w:after="120" w:before="0"/>
      </w:pPr>
      <w:r>
        <w:rPr>
          <w:rFonts w:ascii="Arial" w:cs="Arial" w:eastAsia="Arial" w:hAnsi="Arial"/>
          <w:color w:val="1A1A2E"/>
          <w:sz w:val="20"/>
          <w:szCs w:val="20"/>
        </w:rPr>
        <w:t xml:space="preserve">All conditional offers are subject to:</w:t>
      </w:r>
    </w:p>
    <w:p>
      <w:pPr>
        <w:pStyle w:val="ListParagraph"/>
        <w:numPr>
          <w:ilvl w:val="0"/>
          <w:numId w:val="2"/>
        </w:numPr>
        <w:spacing w:after="80" w:before="0"/>
      </w:pPr>
      <w:r>
        <w:rPr>
          <w:rFonts w:ascii="Arial" w:cs="Arial" w:eastAsia="Arial" w:hAnsi="Arial"/>
          <w:color w:val="1A1A2E"/>
          <w:sz w:val="20"/>
          <w:szCs w:val="20"/>
        </w:rPr>
        <w:t xml:space="preserve">Criminal background check</w:t>
      </w:r>
    </w:p>
    <w:p>
      <w:pPr>
        <w:pStyle w:val="ListParagraph"/>
        <w:numPr>
          <w:ilvl w:val="0"/>
          <w:numId w:val="2"/>
        </w:numPr>
        <w:spacing w:after="80" w:before="0"/>
      </w:pPr>
      <w:r>
        <w:rPr>
          <w:rFonts w:ascii="Arial" w:cs="Arial" w:eastAsia="Arial" w:hAnsi="Arial"/>
          <w:color w:val="1A1A2E"/>
          <w:sz w:val="20"/>
          <w:szCs w:val="20"/>
        </w:rPr>
        <w:t xml:space="preserve">Identity and work authorisation verification</w:t>
      </w:r>
    </w:p>
    <w:p>
      <w:pPr>
        <w:pStyle w:val="ListParagraph"/>
        <w:numPr>
          <w:ilvl w:val="0"/>
          <w:numId w:val="2"/>
        </w:numPr>
        <w:spacing w:after="80" w:before="0"/>
      </w:pPr>
      <w:r>
        <w:rPr>
          <w:rFonts w:ascii="Arial" w:cs="Arial" w:eastAsia="Arial" w:hAnsi="Arial"/>
          <w:color w:val="1A1A2E"/>
          <w:sz w:val="20"/>
          <w:szCs w:val="20"/>
        </w:rPr>
        <w:t xml:space="preserve">Qualification verification</w:t>
      </w:r>
    </w:p>
    <w:p>
      <w:pPr>
        <w:pStyle w:val="ListParagraph"/>
        <w:numPr>
          <w:ilvl w:val="0"/>
          <w:numId w:val="2"/>
        </w:numPr>
        <w:spacing w:after="80" w:before="0"/>
      </w:pPr>
      <w:r>
        <w:rPr>
          <w:rFonts w:ascii="Arial" w:cs="Arial" w:eastAsia="Arial" w:hAnsi="Arial"/>
          <w:color w:val="1A1A2E"/>
          <w:sz w:val="20"/>
          <w:szCs w:val="20"/>
        </w:rPr>
        <w:t xml:space="preserve">Reference checks (minimum 2)</w:t>
      </w:r>
    </w:p>
    <w:p>
      <w:pPr>
        <w:pStyle w:val="Heading3"/>
        <w:spacing w:after="80" w:before="180"/>
      </w:pPr>
      <w:r>
        <w:rPr>
          <w:rFonts w:ascii="Arial" w:cs="Arial" w:eastAsia="Arial" w:hAnsi="Arial"/>
          <w:b/>
          <w:bCs/>
          <w:color w:val="555555"/>
          <w:sz w:val="22"/>
          <w:szCs w:val="22"/>
        </w:rPr>
        <w:t xml:space="preserve">Step 6: Offer &amp; Appointment</w:t>
      </w:r>
    </w:p>
    <w:p>
      <w:pPr>
        <w:spacing w:after="120" w:before="0"/>
      </w:pPr>
      <w:r>
        <w:rPr>
          <w:rFonts w:ascii="Arial" w:cs="Arial" w:eastAsia="Arial" w:hAnsi="Arial"/>
          <w:color w:val="1A1A2E"/>
          <w:sz w:val="20"/>
          <w:szCs w:val="20"/>
        </w:rPr>
        <w:t xml:space="preserve">Offers are made in writing and must be accepted within 5 working days. All employment contracts are drafted by HR and must be signed prior to the commencement date.</w:t>
      </w:r>
    </w:p>
    <w:p>
      <w:pPr>
        <w:pStyle w:val="Heading2"/>
        <w:spacing w:after="120" w:before="240"/>
      </w:pPr>
      <w:r>
        <w:rPr>
          <w:rFonts w:ascii="Arial" w:cs="Arial" w:eastAsia="Arial" w:hAnsi="Arial"/>
          <w:b/>
          <w:bCs/>
          <w:color w:val="1B3A6B"/>
          <w:sz w:val="26"/>
          <w:szCs w:val="26"/>
        </w:rPr>
        <w:t xml:space="preserve">14.4 Prohibition on Nepotism</w:t>
      </w:r>
    </w:p>
    <w:p>
      <w:pPr>
        <w:spacing w:after="120" w:before="0"/>
      </w:pPr>
      <w:r>
        <w:rPr>
          <w:rFonts w:ascii="Arial" w:cs="Arial" w:eastAsia="Arial" w:hAnsi="Arial"/>
          <w:color w:val="1A1A2E"/>
          <w:sz w:val="20"/>
          <w:szCs w:val="20"/>
        </w:rPr>
        <w:t xml:space="preserve">Employees may not participate in the recruitment or selection of immediate family members or close personal associates. All such relationships must be disclosed before the process begins.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15</w:t>
            </w:r>
          </w:p>
          <w:p>
            <w:pPr>
              <w:spacing w:after="0" w:before="0"/>
            </w:pPr>
            <w:r>
              <w:rPr>
                <w:rFonts w:ascii="Arial" w:cs="Arial" w:eastAsia="Arial" w:hAnsi="Arial"/>
                <w:b/>
                <w:bCs/>
                <w:color w:val="FFFFFF"/>
                <w:sz w:val="32"/>
                <w:szCs w:val="32"/>
              </w:rPr>
              <w:t xml:space="preserve">Travel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MGT-FIN-002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Finance / 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travelling on company business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15.1 Purpose</w:t>
      </w:r>
    </w:p>
    <w:p>
      <w:pPr>
        <w:spacing w:after="120" w:before="0"/>
      </w:pPr>
      <w:r>
        <w:rPr>
          <w:rFonts w:ascii="Arial" w:cs="Arial" w:eastAsia="Arial" w:hAnsi="Arial"/>
          <w:color w:val="1A1A2E"/>
          <w:sz w:val="20"/>
          <w:szCs w:val="20"/>
        </w:rPr>
        <w:t xml:space="preserve">This policy establishes standards and procedures for business travel to ensure employee safety, cost-effectiveness, and consistent treatment of travel-related expenses.</w:t>
      </w:r>
    </w:p>
    <w:p>
      <w:pPr>
        <w:pStyle w:val="Heading2"/>
        <w:spacing w:after="120" w:before="240"/>
      </w:pPr>
      <w:r>
        <w:rPr>
          <w:rFonts w:ascii="Arial" w:cs="Arial" w:eastAsia="Arial" w:hAnsi="Arial"/>
          <w:b/>
          <w:bCs/>
          <w:color w:val="1B3A6B"/>
          <w:sz w:val="26"/>
          <w:szCs w:val="26"/>
        </w:rPr>
        <w:t xml:space="preserve">15.2 Pre-Travel Authorisation</w:t>
      </w:r>
    </w:p>
    <w:p>
      <w:pPr>
        <w:pStyle w:val="ListParagraph"/>
        <w:numPr>
          <w:ilvl w:val="0"/>
          <w:numId w:val="2"/>
        </w:numPr>
        <w:spacing w:after="80" w:before="0"/>
      </w:pPr>
      <w:r>
        <w:rPr>
          <w:rFonts w:ascii="Arial" w:cs="Arial" w:eastAsia="Arial" w:hAnsi="Arial"/>
          <w:color w:val="1A1A2E"/>
          <w:sz w:val="20"/>
          <w:szCs w:val="20"/>
        </w:rPr>
        <w:t xml:space="preserve">All business travel must be pre-approved in writing by the employee's line manager.</w:t>
      </w:r>
    </w:p>
    <w:p>
      <w:pPr>
        <w:pStyle w:val="ListParagraph"/>
        <w:numPr>
          <w:ilvl w:val="0"/>
          <w:numId w:val="2"/>
        </w:numPr>
        <w:spacing w:after="80" w:before="0"/>
      </w:pPr>
      <w:r>
        <w:rPr>
          <w:rFonts w:ascii="Arial" w:cs="Arial" w:eastAsia="Arial" w:hAnsi="Arial"/>
          <w:color w:val="1A1A2E"/>
          <w:sz w:val="20"/>
          <w:szCs w:val="20"/>
        </w:rPr>
        <w:t xml:space="preserve">International travel requires additional approval from a Senior Manager and Finance.</w:t>
      </w:r>
    </w:p>
    <w:p>
      <w:pPr>
        <w:pStyle w:val="ListParagraph"/>
        <w:numPr>
          <w:ilvl w:val="0"/>
          <w:numId w:val="2"/>
        </w:numPr>
        <w:spacing w:after="80" w:before="0"/>
      </w:pPr>
      <w:r>
        <w:rPr>
          <w:rFonts w:ascii="Arial" w:cs="Arial" w:eastAsia="Arial" w:hAnsi="Arial"/>
          <w:color w:val="1A1A2E"/>
          <w:sz w:val="20"/>
          <w:szCs w:val="20"/>
        </w:rPr>
        <w:t xml:space="preserve">Travel requests must be submitted at least 10 working days in advance.</w:t>
      </w:r>
    </w:p>
    <w:p>
      <w:pPr>
        <w:pStyle w:val="ListParagraph"/>
        <w:numPr>
          <w:ilvl w:val="0"/>
          <w:numId w:val="2"/>
        </w:numPr>
        <w:spacing w:after="80" w:before="0"/>
      </w:pPr>
      <w:r>
        <w:rPr>
          <w:rFonts w:ascii="Arial" w:cs="Arial" w:eastAsia="Arial" w:hAnsi="Arial"/>
          <w:color w:val="1A1A2E"/>
          <w:sz w:val="20"/>
          <w:szCs w:val="20"/>
        </w:rPr>
        <w:t xml:space="preserve">All travel must be booked through the designated corporate travel system or approved travel agency.</w:t>
      </w:r>
    </w:p>
    <w:p>
      <w:pPr>
        <w:pStyle w:val="Heading2"/>
        <w:spacing w:after="120" w:before="240"/>
      </w:pPr>
      <w:r>
        <w:rPr>
          <w:rFonts w:ascii="Arial" w:cs="Arial" w:eastAsia="Arial" w:hAnsi="Arial"/>
          <w:b/>
          <w:bCs/>
          <w:color w:val="1B3A6B"/>
          <w:sz w:val="26"/>
          <w:szCs w:val="26"/>
        </w:rPr>
        <w:t xml:space="preserve">15.3 Air Travel</w:t>
      </w:r>
    </w:p>
    <w:p>
      <w:pPr>
        <w:pStyle w:val="ListParagraph"/>
        <w:numPr>
          <w:ilvl w:val="0"/>
          <w:numId w:val="2"/>
        </w:numPr>
        <w:spacing w:after="80" w:before="0"/>
      </w:pPr>
      <w:r>
        <w:rPr>
          <w:rFonts w:ascii="Arial" w:cs="Arial" w:eastAsia="Arial" w:hAnsi="Arial"/>
          <w:color w:val="1A1A2E"/>
          <w:sz w:val="20"/>
          <w:szCs w:val="20"/>
        </w:rPr>
        <w:t xml:space="preserve">Economy class for all flights, regardless of duration.</w:t>
      </w:r>
    </w:p>
    <w:p>
      <w:pPr>
        <w:pStyle w:val="ListParagraph"/>
        <w:numPr>
          <w:ilvl w:val="0"/>
          <w:numId w:val="2"/>
        </w:numPr>
        <w:spacing w:after="80" w:before="0"/>
      </w:pPr>
      <w:r>
        <w:rPr>
          <w:rFonts w:ascii="Arial" w:cs="Arial" w:eastAsia="Arial" w:hAnsi="Arial"/>
          <w:color w:val="1A1A2E"/>
          <w:sz w:val="20"/>
          <w:szCs w:val="20"/>
        </w:rPr>
        <w:t xml:space="preserve">Business class may be approved for flights exceeding 8 hours, subject to Senior Management approval.</w:t>
      </w:r>
    </w:p>
    <w:p>
      <w:pPr>
        <w:pStyle w:val="ListParagraph"/>
        <w:numPr>
          <w:ilvl w:val="0"/>
          <w:numId w:val="2"/>
        </w:numPr>
        <w:spacing w:after="80" w:before="0"/>
      </w:pPr>
      <w:r>
        <w:rPr>
          <w:rFonts w:ascii="Arial" w:cs="Arial" w:eastAsia="Arial" w:hAnsi="Arial"/>
          <w:color w:val="1A1A2E"/>
          <w:sz w:val="20"/>
          <w:szCs w:val="20"/>
        </w:rPr>
        <w:t xml:space="preserve">The most cost-effective fare is always preferred, subject to reasonable scheduling.</w:t>
      </w:r>
    </w:p>
    <w:p>
      <w:pPr>
        <w:pStyle w:val="ListParagraph"/>
        <w:numPr>
          <w:ilvl w:val="0"/>
          <w:numId w:val="2"/>
        </w:numPr>
        <w:spacing w:after="80" w:before="0"/>
      </w:pPr>
      <w:r>
        <w:rPr>
          <w:rFonts w:ascii="Arial" w:cs="Arial" w:eastAsia="Arial" w:hAnsi="Arial"/>
          <w:color w:val="1A1A2E"/>
          <w:sz w:val="20"/>
          <w:szCs w:val="20"/>
        </w:rPr>
        <w:t xml:space="preserve">Travel loyalty points earned on company travel may be retained personally.</w:t>
      </w:r>
    </w:p>
    <w:p>
      <w:pPr>
        <w:pStyle w:val="Heading2"/>
        <w:spacing w:after="120" w:before="240"/>
      </w:pPr>
      <w:r>
        <w:rPr>
          <w:rFonts w:ascii="Arial" w:cs="Arial" w:eastAsia="Arial" w:hAnsi="Arial"/>
          <w:b/>
          <w:bCs/>
          <w:color w:val="1B3A6B"/>
          <w:sz w:val="26"/>
          <w:szCs w:val="26"/>
        </w:rPr>
        <w:t xml:space="preserve">15.4 Accommodation</w:t>
      </w:r>
    </w:p>
    <w:p>
      <w:pPr>
        <w:pStyle w:val="ListParagraph"/>
        <w:numPr>
          <w:ilvl w:val="0"/>
          <w:numId w:val="2"/>
        </w:numPr>
        <w:spacing w:after="80" w:before="0"/>
      </w:pPr>
      <w:r>
        <w:rPr>
          <w:rFonts w:ascii="Arial" w:cs="Arial" w:eastAsia="Arial" w:hAnsi="Arial"/>
          <w:color w:val="1A1A2E"/>
          <w:sz w:val="20"/>
          <w:szCs w:val="20"/>
        </w:rPr>
        <w:t xml:space="preserve">Accommodation must be booked at approved or pre-vetted hotels/properties.</w:t>
      </w:r>
    </w:p>
    <w:p>
      <w:pPr>
        <w:pStyle w:val="ListParagraph"/>
        <w:numPr>
          <w:ilvl w:val="0"/>
          <w:numId w:val="2"/>
        </w:numPr>
        <w:spacing w:after="80" w:before="0"/>
      </w:pPr>
      <w:r>
        <w:rPr>
          <w:rFonts w:ascii="Arial" w:cs="Arial" w:eastAsia="Arial" w:hAnsi="Arial"/>
          <w:color w:val="1A1A2E"/>
          <w:sz w:val="20"/>
          <w:szCs w:val="20"/>
        </w:rPr>
        <w:t xml:space="preserve">Maximum rate: R1,500 per night domestic; equivalent rate for international travel per region.</w:t>
      </w:r>
    </w:p>
    <w:p>
      <w:pPr>
        <w:pStyle w:val="ListParagraph"/>
        <w:numPr>
          <w:ilvl w:val="0"/>
          <w:numId w:val="2"/>
        </w:numPr>
        <w:spacing w:after="80" w:before="0"/>
      </w:pPr>
      <w:r>
        <w:rPr>
          <w:rFonts w:ascii="Arial" w:cs="Arial" w:eastAsia="Arial" w:hAnsi="Arial"/>
          <w:color w:val="1A1A2E"/>
          <w:sz w:val="20"/>
          <w:szCs w:val="20"/>
        </w:rPr>
        <w:t xml:space="preserve">Employees should book the most cost-effective option available at the required location.</w:t>
      </w:r>
    </w:p>
    <w:p>
      <w:pPr>
        <w:pStyle w:val="Heading2"/>
        <w:spacing w:after="120" w:before="240"/>
      </w:pPr>
      <w:r>
        <w:rPr>
          <w:rFonts w:ascii="Arial" w:cs="Arial" w:eastAsia="Arial" w:hAnsi="Arial"/>
          <w:b/>
          <w:bCs/>
          <w:color w:val="1B3A6B"/>
          <w:sz w:val="26"/>
          <w:szCs w:val="26"/>
        </w:rPr>
        <w:t xml:space="preserve">15.5 Ground Transportation</w:t>
      </w:r>
    </w:p>
    <w:p>
      <w:pPr>
        <w:pStyle w:val="ListParagraph"/>
        <w:numPr>
          <w:ilvl w:val="0"/>
          <w:numId w:val="2"/>
        </w:numPr>
        <w:spacing w:after="80" w:before="0"/>
      </w:pPr>
      <w:r>
        <w:rPr>
          <w:rFonts w:ascii="Arial" w:cs="Arial" w:eastAsia="Arial" w:hAnsi="Arial"/>
          <w:color w:val="1A1A2E"/>
          <w:sz w:val="20"/>
          <w:szCs w:val="20"/>
        </w:rPr>
        <w:t xml:space="preserve">Car hire in economy class; larger vehicles require justification and approval.</w:t>
      </w:r>
    </w:p>
    <w:p>
      <w:pPr>
        <w:pStyle w:val="ListParagraph"/>
        <w:numPr>
          <w:ilvl w:val="0"/>
          <w:numId w:val="2"/>
        </w:numPr>
        <w:spacing w:after="80" w:before="0"/>
      </w:pPr>
      <w:r>
        <w:rPr>
          <w:rFonts w:ascii="Arial" w:cs="Arial" w:eastAsia="Arial" w:hAnsi="Arial"/>
          <w:color w:val="1A1A2E"/>
          <w:sz w:val="20"/>
          <w:szCs w:val="20"/>
        </w:rPr>
        <w:t xml:space="preserve">Taxis and rideshares are reimbursable at actual cost.</w:t>
      </w:r>
    </w:p>
    <w:p>
      <w:pPr>
        <w:pStyle w:val="ListParagraph"/>
        <w:numPr>
          <w:ilvl w:val="0"/>
          <w:numId w:val="2"/>
        </w:numPr>
        <w:spacing w:after="80" w:before="0"/>
      </w:pPr>
      <w:r>
        <w:rPr>
          <w:rFonts w:ascii="Arial" w:cs="Arial" w:eastAsia="Arial" w:hAnsi="Arial"/>
          <w:color w:val="1A1A2E"/>
          <w:sz w:val="20"/>
          <w:szCs w:val="20"/>
        </w:rPr>
        <w:t xml:space="preserve">Personal vehicles may be used with manager approval; mileage reimbursed at current official rate.</w:t>
      </w:r>
    </w:p>
    <w:p>
      <w:pPr>
        <w:pStyle w:val="Heading2"/>
        <w:spacing w:after="120" w:before="240"/>
      </w:pPr>
      <w:r>
        <w:rPr>
          <w:rFonts w:ascii="Arial" w:cs="Arial" w:eastAsia="Arial" w:hAnsi="Arial"/>
          <w:b/>
          <w:bCs/>
          <w:color w:val="1B3A6B"/>
          <w:sz w:val="26"/>
          <w:szCs w:val="26"/>
        </w:rPr>
        <w:t xml:space="preserve">15.6 Meals &amp; Daily Allowance</w:t>
      </w:r>
    </w:p>
    <w:p>
      <w:pPr>
        <w:spacing w:after="120" w:before="0"/>
      </w:pPr>
      <w:r>
        <w:rPr>
          <w:rFonts w:ascii="Arial" w:cs="Arial" w:eastAsia="Arial" w:hAnsi="Arial"/>
          <w:color w:val="1A1A2E"/>
          <w:sz w:val="20"/>
          <w:szCs w:val="20"/>
        </w:rPr>
        <w:t xml:space="preserve">Daily meal allowances for domestic travel (inclusive of breakfast, lunch, and dinner):</w:t>
      </w:r>
    </w:p>
    <w:p>
      <w:pPr>
        <w:pStyle w:val="ListParagraph"/>
        <w:numPr>
          <w:ilvl w:val="0"/>
          <w:numId w:val="2"/>
        </w:numPr>
        <w:spacing w:after="80" w:before="0"/>
      </w:pPr>
      <w:r>
        <w:rPr>
          <w:rFonts w:ascii="Arial" w:cs="Arial" w:eastAsia="Arial" w:hAnsi="Arial"/>
          <w:color w:val="1A1A2E"/>
          <w:sz w:val="20"/>
          <w:szCs w:val="20"/>
        </w:rPr>
        <w:t xml:space="preserve">Full day: R350</w:t>
      </w:r>
    </w:p>
    <w:p>
      <w:pPr>
        <w:pStyle w:val="ListParagraph"/>
        <w:numPr>
          <w:ilvl w:val="0"/>
          <w:numId w:val="2"/>
        </w:numPr>
        <w:spacing w:after="80" w:before="0"/>
      </w:pPr>
      <w:r>
        <w:rPr>
          <w:rFonts w:ascii="Arial" w:cs="Arial" w:eastAsia="Arial" w:hAnsi="Arial"/>
          <w:color w:val="1A1A2E"/>
          <w:sz w:val="20"/>
          <w:szCs w:val="20"/>
        </w:rPr>
        <w:t xml:space="preserve">Partial day (less than 5 hours travel): R150</w:t>
      </w:r>
    </w:p>
    <w:p>
      <w:pPr>
        <w:spacing w:after="120" w:before="0"/>
      </w:pPr>
      <w:r>
        <w:rPr>
          <w:rFonts w:ascii="Arial" w:cs="Arial" w:eastAsia="Arial" w:hAnsi="Arial"/>
          <w:color w:val="1A1A2E"/>
          <w:sz w:val="20"/>
          <w:szCs w:val="20"/>
        </w:rPr>
        <w:t xml:space="preserve">International allowances are determined by destination and must be pre-approved by Finance.</w:t>
      </w:r>
    </w:p>
    <w:p>
      <w:pPr>
        <w:pStyle w:val="Heading2"/>
        <w:spacing w:after="120" w:before="240"/>
      </w:pPr>
      <w:r>
        <w:rPr>
          <w:rFonts w:ascii="Arial" w:cs="Arial" w:eastAsia="Arial" w:hAnsi="Arial"/>
          <w:b/>
          <w:bCs/>
          <w:color w:val="1B3A6B"/>
          <w:sz w:val="26"/>
          <w:szCs w:val="26"/>
        </w:rPr>
        <w:t xml:space="preserve">15.7 Travel Safety</w:t>
      </w:r>
    </w:p>
    <w:p>
      <w:pPr>
        <w:pStyle w:val="ListParagraph"/>
        <w:numPr>
          <w:ilvl w:val="0"/>
          <w:numId w:val="2"/>
        </w:numPr>
        <w:spacing w:after="80" w:before="0"/>
      </w:pPr>
      <w:r>
        <w:rPr>
          <w:rFonts w:ascii="Arial" w:cs="Arial" w:eastAsia="Arial" w:hAnsi="Arial"/>
          <w:color w:val="1A1A2E"/>
          <w:sz w:val="20"/>
          <w:szCs w:val="20"/>
        </w:rPr>
        <w:t xml:space="preserve">Employees must register all international travel with HR prior to departure.</w:t>
      </w:r>
    </w:p>
    <w:p>
      <w:pPr>
        <w:pStyle w:val="ListParagraph"/>
        <w:numPr>
          <w:ilvl w:val="0"/>
          <w:numId w:val="2"/>
        </w:numPr>
        <w:spacing w:after="80" w:before="0"/>
      </w:pPr>
      <w:r>
        <w:rPr>
          <w:rFonts w:ascii="Arial" w:cs="Arial" w:eastAsia="Arial" w:hAnsi="Arial"/>
          <w:color w:val="1A1A2E"/>
          <w:sz w:val="20"/>
          <w:szCs w:val="20"/>
        </w:rPr>
        <w:t xml:space="preserve">Employees must adhere to all travel advisories and security protocols.</w:t>
      </w:r>
    </w:p>
    <w:p>
      <w:pPr>
        <w:pStyle w:val="ListParagraph"/>
        <w:numPr>
          <w:ilvl w:val="0"/>
          <w:numId w:val="2"/>
        </w:numPr>
        <w:spacing w:after="80" w:before="0"/>
      </w:pPr>
      <w:r>
        <w:rPr>
          <w:rFonts w:ascii="Arial" w:cs="Arial" w:eastAsia="Arial" w:hAnsi="Arial"/>
          <w:color w:val="1A1A2E"/>
          <w:sz w:val="20"/>
          <w:szCs w:val="20"/>
        </w:rPr>
        <w:t xml:space="preserve">MGT provides corporate travel insurance covering medical emergencies, cancellations, and lost baggage.</w:t>
      </w:r>
    </w:p>
    <w:p>
      <w:pPr>
        <w:pStyle w:val="ListParagraph"/>
        <w:numPr>
          <w:ilvl w:val="0"/>
          <w:numId w:val="2"/>
        </w:numPr>
        <w:spacing w:after="80" w:before="0"/>
      </w:pPr>
      <w:r>
        <w:rPr>
          <w:rFonts w:ascii="Arial" w:cs="Arial" w:eastAsia="Arial" w:hAnsi="Arial"/>
          <w:color w:val="1A1A2E"/>
          <w:sz w:val="20"/>
          <w:szCs w:val="20"/>
        </w:rPr>
        <w:t xml:space="preserve">In case of emergency while travelling, contact the corporate travel emergency line.</w:t>
      </w:r>
    </w:p>
    <w:p>
      <w:pPr>
        <w:pStyle w:val="Heading2"/>
        <w:spacing w:after="120" w:before="240"/>
      </w:pPr>
      <w:r>
        <w:rPr>
          <w:rFonts w:ascii="Arial" w:cs="Arial" w:eastAsia="Arial" w:hAnsi="Arial"/>
          <w:b/>
          <w:bCs/>
          <w:color w:val="1B3A6B"/>
          <w:sz w:val="26"/>
          <w:szCs w:val="26"/>
        </w:rPr>
        <w:t xml:space="preserve">15.8 Expense Claims</w:t>
      </w:r>
    </w:p>
    <w:p>
      <w:pPr>
        <w:spacing w:after="120" w:before="0"/>
      </w:pPr>
      <w:r>
        <w:rPr>
          <w:rFonts w:ascii="Arial" w:cs="Arial" w:eastAsia="Arial" w:hAnsi="Arial"/>
          <w:color w:val="1A1A2E"/>
          <w:sz w:val="20"/>
          <w:szCs w:val="20"/>
        </w:rPr>
        <w:t xml:space="preserve">Travel expenses must be claimed using the standard Expense Claim Form (ECF-001) within 30 days of return. All receipts must be attached. Refer to Policy 08 for full expense reimbursement procedures.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16</w:t>
            </w:r>
          </w:p>
          <w:p>
            <w:pPr>
              <w:spacing w:after="0" w:before="0"/>
            </w:pPr>
            <w:r>
              <w:rPr>
                <w:rFonts w:ascii="Arial" w:cs="Arial" w:eastAsia="Arial" w:hAnsi="Arial"/>
                <w:b/>
                <w:bCs/>
                <w:color w:val="FFFFFF"/>
                <w:sz w:val="32"/>
                <w:szCs w:val="32"/>
              </w:rPr>
              <w:t xml:space="preserve">Drug and Alcohol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MGT-OHS-002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HR /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contractors, and visitors on company premises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16.1 Purpose</w:t>
      </w:r>
    </w:p>
    <w:p>
      <w:pPr>
        <w:spacing w:after="120" w:before="0"/>
      </w:pPr>
      <w:r>
        <w:rPr>
          <w:rFonts w:ascii="Arial" w:cs="Arial" w:eastAsia="Arial" w:hAnsi="Arial"/>
          <w:color w:val="1A1A2E"/>
          <w:sz w:val="20"/>
          <w:szCs w:val="20"/>
        </w:rPr>
        <w:t xml:space="preserve">MGT is committed to maintaining a safe, productive, and healthy workplace. Substance abuse poses significant risks to employee safety, health, and organisational performance. This policy establishes clear standards for the use of alcohol and drugs in the workplace.</w:t>
      </w:r>
    </w:p>
    <w:p>
      <w:pPr>
        <w:pStyle w:val="Heading2"/>
        <w:spacing w:after="120" w:before="240"/>
      </w:pPr>
      <w:r>
        <w:rPr>
          <w:rFonts w:ascii="Arial" w:cs="Arial" w:eastAsia="Arial" w:hAnsi="Arial"/>
          <w:b/>
          <w:bCs/>
          <w:color w:val="1B3A6B"/>
          <w:sz w:val="26"/>
          <w:szCs w:val="26"/>
        </w:rPr>
        <w:t xml:space="preserve">16.2 Prohibited Conduct</w:t>
      </w:r>
    </w:p>
    <w:p>
      <w:pPr>
        <w:spacing w:after="120" w:before="0"/>
      </w:pPr>
      <w:r>
        <w:rPr>
          <w:rFonts w:ascii="Arial" w:cs="Arial" w:eastAsia="Arial" w:hAnsi="Arial"/>
          <w:color w:val="1A1A2E"/>
          <w:sz w:val="20"/>
          <w:szCs w:val="20"/>
        </w:rPr>
        <w:t xml:space="preserve">The following are strictly prohibited:</w:t>
      </w:r>
    </w:p>
    <w:p>
      <w:pPr>
        <w:pStyle w:val="ListParagraph"/>
        <w:numPr>
          <w:ilvl w:val="0"/>
          <w:numId w:val="2"/>
        </w:numPr>
        <w:spacing w:after="80" w:before="0"/>
      </w:pPr>
      <w:r>
        <w:rPr>
          <w:rFonts w:ascii="Arial" w:cs="Arial" w:eastAsia="Arial" w:hAnsi="Arial"/>
          <w:color w:val="1A1A2E"/>
          <w:sz w:val="20"/>
          <w:szCs w:val="20"/>
        </w:rPr>
        <w:t xml:space="preserve">Reporting for work while under the influence of alcohol or any illicit substance.</w:t>
      </w:r>
    </w:p>
    <w:p>
      <w:pPr>
        <w:pStyle w:val="ListParagraph"/>
        <w:numPr>
          <w:ilvl w:val="0"/>
          <w:numId w:val="2"/>
        </w:numPr>
        <w:spacing w:after="80" w:before="0"/>
      </w:pPr>
      <w:r>
        <w:rPr>
          <w:rFonts w:ascii="Arial" w:cs="Arial" w:eastAsia="Arial" w:hAnsi="Arial"/>
          <w:color w:val="1A1A2E"/>
          <w:sz w:val="20"/>
          <w:szCs w:val="20"/>
        </w:rPr>
        <w:t xml:space="preserve">Consuming alcohol or illicit substances on company premises or while on company duty.</w:t>
      </w:r>
    </w:p>
    <w:p>
      <w:pPr>
        <w:pStyle w:val="ListParagraph"/>
        <w:numPr>
          <w:ilvl w:val="0"/>
          <w:numId w:val="2"/>
        </w:numPr>
        <w:spacing w:after="80" w:before="0"/>
      </w:pPr>
      <w:r>
        <w:rPr>
          <w:rFonts w:ascii="Arial" w:cs="Arial" w:eastAsia="Arial" w:hAnsi="Arial"/>
          <w:color w:val="1A1A2E"/>
          <w:sz w:val="20"/>
          <w:szCs w:val="20"/>
        </w:rPr>
        <w:t xml:space="preserve">Being in possession of illicit substances on company premises or while performing company duties.</w:t>
      </w:r>
    </w:p>
    <w:p>
      <w:pPr>
        <w:pStyle w:val="ListParagraph"/>
        <w:numPr>
          <w:ilvl w:val="0"/>
          <w:numId w:val="2"/>
        </w:numPr>
        <w:spacing w:after="80" w:before="0"/>
      </w:pPr>
      <w:r>
        <w:rPr>
          <w:rFonts w:ascii="Arial" w:cs="Arial" w:eastAsia="Arial" w:hAnsi="Arial"/>
          <w:color w:val="1A1A2E"/>
          <w:sz w:val="20"/>
          <w:szCs w:val="20"/>
        </w:rPr>
        <w:t xml:space="preserve">Misusing or distributing prescription medication in the workplace.</w:t>
      </w:r>
    </w:p>
    <w:p>
      <w:pPr>
        <w:pStyle w:val="Heading2"/>
        <w:spacing w:after="120" w:before="240"/>
      </w:pPr>
      <w:r>
        <w:rPr>
          <w:rFonts w:ascii="Arial" w:cs="Arial" w:eastAsia="Arial" w:hAnsi="Arial"/>
          <w:b/>
          <w:bCs/>
          <w:color w:val="1B3A6B"/>
          <w:sz w:val="26"/>
          <w:szCs w:val="26"/>
        </w:rPr>
        <w:t xml:space="preserve">16.3 Prescription Medication</w:t>
      </w:r>
    </w:p>
    <w:p>
      <w:pPr>
        <w:spacing w:after="120" w:before="0"/>
      </w:pPr>
      <w:r>
        <w:rPr>
          <w:rFonts w:ascii="Arial" w:cs="Arial" w:eastAsia="Arial" w:hAnsi="Arial"/>
          <w:color w:val="1A1A2E"/>
          <w:sz w:val="20"/>
          <w:szCs w:val="20"/>
        </w:rPr>
        <w:t xml:space="preserve">Employees taking prescription medication that may affect their capacity to work safely must inform their manager. MGT will make reasonable accommodations where possible. The use of such medication must be managed in consultation with HR.</w:t>
      </w:r>
    </w:p>
    <w:p>
      <w:pPr>
        <w:pStyle w:val="Heading2"/>
        <w:spacing w:after="120" w:before="240"/>
      </w:pPr>
      <w:r>
        <w:rPr>
          <w:rFonts w:ascii="Arial" w:cs="Arial" w:eastAsia="Arial" w:hAnsi="Arial"/>
          <w:b/>
          <w:bCs/>
          <w:color w:val="1B3A6B"/>
          <w:sz w:val="26"/>
          <w:szCs w:val="26"/>
        </w:rPr>
        <w:t xml:space="preserve">16.4 Testing</w:t>
      </w:r>
    </w:p>
    <w:p>
      <w:pPr>
        <w:spacing w:after="120" w:before="0"/>
      </w:pPr>
      <w:r>
        <w:rPr>
          <w:rFonts w:ascii="Arial" w:cs="Arial" w:eastAsia="Arial" w:hAnsi="Arial"/>
          <w:color w:val="1A1A2E"/>
          <w:sz w:val="20"/>
          <w:szCs w:val="20"/>
        </w:rPr>
        <w:t xml:space="preserve">MGT reserves the right to conduct drug and/or alcohol testing in the following circumstances:</w:t>
      </w:r>
    </w:p>
    <w:p>
      <w:pPr>
        <w:pStyle w:val="ListParagraph"/>
        <w:numPr>
          <w:ilvl w:val="0"/>
          <w:numId w:val="2"/>
        </w:numPr>
        <w:spacing w:after="80" w:before="0"/>
      </w:pPr>
      <w:r>
        <w:rPr>
          <w:rFonts w:ascii="Arial" w:cs="Arial" w:eastAsia="Arial" w:hAnsi="Arial"/>
          <w:color w:val="1A1A2E"/>
          <w:sz w:val="20"/>
          <w:szCs w:val="20"/>
        </w:rPr>
        <w:t xml:space="preserve">Post-incident or near-miss events.</w:t>
      </w:r>
    </w:p>
    <w:p>
      <w:pPr>
        <w:pStyle w:val="ListParagraph"/>
        <w:numPr>
          <w:ilvl w:val="0"/>
          <w:numId w:val="2"/>
        </w:numPr>
        <w:spacing w:after="80" w:before="0"/>
      </w:pPr>
      <w:r>
        <w:rPr>
          <w:rFonts w:ascii="Arial" w:cs="Arial" w:eastAsia="Arial" w:hAnsi="Arial"/>
          <w:color w:val="1A1A2E"/>
          <w:sz w:val="20"/>
          <w:szCs w:val="20"/>
        </w:rPr>
        <w:t xml:space="preserve">Where there is reasonable suspicion of impairment.</w:t>
      </w:r>
    </w:p>
    <w:p>
      <w:pPr>
        <w:pStyle w:val="ListParagraph"/>
        <w:numPr>
          <w:ilvl w:val="0"/>
          <w:numId w:val="2"/>
        </w:numPr>
        <w:spacing w:after="80" w:before="0"/>
      </w:pPr>
      <w:r>
        <w:rPr>
          <w:rFonts w:ascii="Arial" w:cs="Arial" w:eastAsia="Arial" w:hAnsi="Arial"/>
          <w:color w:val="1A1A2E"/>
          <w:sz w:val="20"/>
          <w:szCs w:val="20"/>
        </w:rPr>
        <w:t xml:space="preserve">As part of pre-employment screening.</w:t>
      </w:r>
    </w:p>
    <w:p>
      <w:pPr>
        <w:pStyle w:val="ListParagraph"/>
        <w:numPr>
          <w:ilvl w:val="0"/>
          <w:numId w:val="2"/>
        </w:numPr>
        <w:spacing w:after="80" w:before="0"/>
      </w:pPr>
      <w:r>
        <w:rPr>
          <w:rFonts w:ascii="Arial" w:cs="Arial" w:eastAsia="Arial" w:hAnsi="Arial"/>
          <w:color w:val="1A1A2E"/>
          <w:sz w:val="20"/>
          <w:szCs w:val="20"/>
        </w:rPr>
        <w:t xml:space="preserve">Random testing in designated safety-sensitive environments.</w:t>
      </w:r>
    </w:p>
    <w:p>
      <w:pPr>
        <w:spacing w:after="120" w:before="0"/>
      </w:pPr>
      <w:r>
        <w:rPr>
          <w:rFonts w:ascii="Arial" w:cs="Arial" w:eastAsia="Arial" w:hAnsi="Arial"/>
          <w:color w:val="1A1A2E"/>
          <w:sz w:val="20"/>
          <w:szCs w:val="20"/>
        </w:rPr>
        <w:t xml:space="preserve">Testing will be conducted in a dignified, confidential manner by an accredited service provider.</w:t>
      </w:r>
    </w:p>
    <w:p>
      <w:pPr>
        <w:pStyle w:val="Heading2"/>
        <w:spacing w:after="120" w:before="240"/>
      </w:pPr>
      <w:r>
        <w:rPr>
          <w:rFonts w:ascii="Arial" w:cs="Arial" w:eastAsia="Arial" w:hAnsi="Arial"/>
          <w:b/>
          <w:bCs/>
          <w:color w:val="1B3A6B"/>
          <w:sz w:val="26"/>
          <w:szCs w:val="26"/>
        </w:rPr>
        <w:t xml:space="preserve">16.5 Support &amp; Rehabilitation</w:t>
      </w:r>
    </w:p>
    <w:p>
      <w:pPr>
        <w:spacing w:after="120" w:before="0"/>
      </w:pPr>
      <w:r>
        <w:rPr>
          <w:rFonts w:ascii="Arial" w:cs="Arial" w:eastAsia="Arial" w:hAnsi="Arial"/>
          <w:color w:val="1A1A2E"/>
          <w:sz w:val="20"/>
          <w:szCs w:val="20"/>
        </w:rPr>
        <w:t xml:space="preserve">MGT recognises substance use disorders as health conditions requiring support. Employees who voluntarily disclose a substance dependency problem and seek treatment will not be subject to disciplinary action for the disclosure itself. MGT will:</w:t>
      </w:r>
    </w:p>
    <w:p>
      <w:pPr>
        <w:pStyle w:val="ListParagraph"/>
        <w:numPr>
          <w:ilvl w:val="0"/>
          <w:numId w:val="2"/>
        </w:numPr>
        <w:spacing w:after="80" w:before="0"/>
      </w:pPr>
      <w:r>
        <w:rPr>
          <w:rFonts w:ascii="Arial" w:cs="Arial" w:eastAsia="Arial" w:hAnsi="Arial"/>
          <w:color w:val="1A1A2E"/>
          <w:sz w:val="20"/>
          <w:szCs w:val="20"/>
        </w:rPr>
        <w:t xml:space="preserve">Provide access to the Employee Assistance Programme (EAP).</w:t>
      </w:r>
    </w:p>
    <w:p>
      <w:pPr>
        <w:pStyle w:val="ListParagraph"/>
        <w:numPr>
          <w:ilvl w:val="0"/>
          <w:numId w:val="2"/>
        </w:numPr>
        <w:spacing w:after="80" w:before="0"/>
      </w:pPr>
      <w:r>
        <w:rPr>
          <w:rFonts w:ascii="Arial" w:cs="Arial" w:eastAsia="Arial" w:hAnsi="Arial"/>
          <w:color w:val="1A1A2E"/>
          <w:sz w:val="20"/>
          <w:szCs w:val="20"/>
        </w:rPr>
        <w:t xml:space="preserve">Consider a structured leave arrangement to support treatment.</w:t>
      </w:r>
    </w:p>
    <w:p>
      <w:pPr>
        <w:pStyle w:val="ListParagraph"/>
        <w:numPr>
          <w:ilvl w:val="0"/>
          <w:numId w:val="2"/>
        </w:numPr>
        <w:spacing w:after="80" w:before="0"/>
      </w:pPr>
      <w:r>
        <w:rPr>
          <w:rFonts w:ascii="Arial" w:cs="Arial" w:eastAsia="Arial" w:hAnsi="Arial"/>
          <w:color w:val="1A1A2E"/>
          <w:sz w:val="20"/>
          <w:szCs w:val="20"/>
        </w:rPr>
        <w:t xml:space="preserve">Facilitate a return-to-work plan following successful treatment.</w:t>
      </w:r>
    </w:p>
    <w:p>
      <w:pPr>
        <w:pStyle w:val="Heading2"/>
        <w:spacing w:after="120" w:before="240"/>
      </w:pPr>
      <w:r>
        <w:rPr>
          <w:rFonts w:ascii="Arial" w:cs="Arial" w:eastAsia="Arial" w:hAnsi="Arial"/>
          <w:b/>
          <w:bCs/>
          <w:color w:val="1B3A6B"/>
          <w:sz w:val="26"/>
          <w:szCs w:val="26"/>
        </w:rPr>
        <w:t xml:space="preserve">16.6 Disciplinary Action</w:t>
      </w:r>
    </w:p>
    <w:p>
      <w:pPr>
        <w:spacing w:after="120" w:before="0"/>
      </w:pPr>
      <w:r>
        <w:rPr>
          <w:rFonts w:ascii="Arial" w:cs="Arial" w:eastAsia="Arial" w:hAnsi="Arial"/>
          <w:color w:val="1A1A2E"/>
          <w:sz w:val="20"/>
          <w:szCs w:val="20"/>
        </w:rPr>
        <w:t xml:space="preserve">Violations of this policy will result in disciplinary action up to and including dismissal, particularly in cases involving safety-sensitive roles, client-facing conduct, or repeated breaches.</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17</w:t>
            </w:r>
          </w:p>
          <w:p>
            <w:pPr>
              <w:spacing w:after="0" w:before="0"/>
            </w:pPr>
            <w:r>
              <w:rPr>
                <w:rFonts w:ascii="Arial" w:cs="Arial" w:eastAsia="Arial" w:hAnsi="Arial"/>
                <w:b/>
                <w:bCs/>
                <w:color w:val="FFFFFF"/>
                <w:sz w:val="32"/>
                <w:szCs w:val="32"/>
              </w:rPr>
              <w:t xml:space="preserve">Intellectual Property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MGT-LEGAL-003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Legal / 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 contractors, and consultants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17.1 Purpose</w:t>
      </w:r>
    </w:p>
    <w:p>
      <w:pPr>
        <w:spacing w:after="120" w:before="0"/>
      </w:pPr>
      <w:r>
        <w:rPr>
          <w:rFonts w:ascii="Arial" w:cs="Arial" w:eastAsia="Arial" w:hAnsi="Arial"/>
          <w:color w:val="1A1A2E"/>
          <w:sz w:val="20"/>
          <w:szCs w:val="20"/>
        </w:rPr>
        <w:t xml:space="preserve">This policy protects MGT's intellectual property (IP) assets, clarifies ownership of IP created in the course of employment, and outlines employees' obligations with respect to confidentiality and IP protection.</w:t>
      </w:r>
    </w:p>
    <w:p>
      <w:pPr>
        <w:pStyle w:val="Heading2"/>
        <w:spacing w:after="120" w:before="240"/>
      </w:pPr>
      <w:r>
        <w:rPr>
          <w:rFonts w:ascii="Arial" w:cs="Arial" w:eastAsia="Arial" w:hAnsi="Arial"/>
          <w:b/>
          <w:bCs/>
          <w:color w:val="1B3A6B"/>
          <w:sz w:val="26"/>
          <w:szCs w:val="26"/>
        </w:rPr>
        <w:t xml:space="preserve">17.2 Definitions</w:t>
      </w:r>
    </w:p>
    <w:p>
      <w:pPr>
        <w:pStyle w:val="ListParagraph"/>
        <w:numPr>
          <w:ilvl w:val="0"/>
          <w:numId w:val="2"/>
        </w:numPr>
        <w:spacing w:after="80" w:before="0"/>
      </w:pPr>
      <w:r>
        <w:rPr>
          <w:rFonts w:ascii="Arial" w:cs="Arial" w:eastAsia="Arial" w:hAnsi="Arial"/>
          <w:color w:val="1A1A2E"/>
          <w:sz w:val="20"/>
          <w:szCs w:val="20"/>
        </w:rPr>
        <w:t xml:space="preserve">Intellectual Property: Patents, trademarks, copyrights, trade secrets, software, inventions, databases, designs, processes, know-how, and all other forms of intellectual property.</w:t>
      </w:r>
    </w:p>
    <w:p>
      <w:pPr>
        <w:pStyle w:val="ListParagraph"/>
        <w:numPr>
          <w:ilvl w:val="0"/>
          <w:numId w:val="2"/>
        </w:numPr>
        <w:spacing w:after="80" w:before="0"/>
      </w:pPr>
      <w:r>
        <w:rPr>
          <w:rFonts w:ascii="Arial" w:cs="Arial" w:eastAsia="Arial" w:hAnsi="Arial"/>
          <w:color w:val="1A1A2E"/>
          <w:sz w:val="20"/>
          <w:szCs w:val="20"/>
        </w:rPr>
        <w:t xml:space="preserve">Company IP: Any IP created wholly or partially during the course of employment with MGT, using company resources, or relating to the company's business.</w:t>
      </w:r>
    </w:p>
    <w:p>
      <w:pPr>
        <w:pStyle w:val="ListParagraph"/>
        <w:numPr>
          <w:ilvl w:val="0"/>
          <w:numId w:val="2"/>
        </w:numPr>
        <w:spacing w:after="80" w:before="0"/>
      </w:pPr>
      <w:r>
        <w:rPr>
          <w:rFonts w:ascii="Arial" w:cs="Arial" w:eastAsia="Arial" w:hAnsi="Arial"/>
          <w:color w:val="1A1A2E"/>
          <w:sz w:val="20"/>
          <w:szCs w:val="20"/>
        </w:rPr>
        <w:t xml:space="preserve">Pre-Existing IP: IP created by an employee before their employment commenced at MGT.</w:t>
      </w:r>
    </w:p>
    <w:p>
      <w:pPr>
        <w:pStyle w:val="Heading2"/>
        <w:spacing w:after="120" w:before="240"/>
      </w:pPr>
      <w:r>
        <w:rPr>
          <w:rFonts w:ascii="Arial" w:cs="Arial" w:eastAsia="Arial" w:hAnsi="Arial"/>
          <w:b/>
          <w:bCs/>
          <w:color w:val="1B3A6B"/>
          <w:sz w:val="26"/>
          <w:szCs w:val="26"/>
        </w:rPr>
        <w:t xml:space="preserve">17.3 Ownership of Work Product</w:t>
      </w:r>
    </w:p>
    <w:p>
      <w:pPr>
        <w:spacing w:after="120" w:before="0"/>
      </w:pPr>
      <w:r>
        <w:rPr>
          <w:rFonts w:ascii="Arial" w:cs="Arial" w:eastAsia="Arial" w:hAnsi="Arial"/>
          <w:color w:val="1A1A2E"/>
          <w:sz w:val="20"/>
          <w:szCs w:val="20"/>
        </w:rPr>
        <w:t xml:space="preserve">All Company IP created by an employee in the performance of their duties, whether during or outside working hours, belongs exclusively to MGT. This includes:</w:t>
      </w:r>
    </w:p>
    <w:p>
      <w:pPr>
        <w:pStyle w:val="ListParagraph"/>
        <w:numPr>
          <w:ilvl w:val="0"/>
          <w:numId w:val="2"/>
        </w:numPr>
        <w:spacing w:after="80" w:before="0"/>
      </w:pPr>
      <w:r>
        <w:rPr>
          <w:rFonts w:ascii="Arial" w:cs="Arial" w:eastAsia="Arial" w:hAnsi="Arial"/>
          <w:color w:val="1A1A2E"/>
          <w:sz w:val="20"/>
          <w:szCs w:val="20"/>
        </w:rPr>
        <w:t xml:space="preserve">Software code, algorithms, and technical documentation.</w:t>
      </w:r>
    </w:p>
    <w:p>
      <w:pPr>
        <w:pStyle w:val="ListParagraph"/>
        <w:numPr>
          <w:ilvl w:val="0"/>
          <w:numId w:val="2"/>
        </w:numPr>
        <w:spacing w:after="80" w:before="0"/>
      </w:pPr>
      <w:r>
        <w:rPr>
          <w:rFonts w:ascii="Arial" w:cs="Arial" w:eastAsia="Arial" w:hAnsi="Arial"/>
          <w:color w:val="1A1A2E"/>
          <w:sz w:val="20"/>
          <w:szCs w:val="20"/>
        </w:rPr>
        <w:t xml:space="preserve">Business processes, methodologies, and frameworks.</w:t>
      </w:r>
    </w:p>
    <w:p>
      <w:pPr>
        <w:pStyle w:val="ListParagraph"/>
        <w:numPr>
          <w:ilvl w:val="0"/>
          <w:numId w:val="2"/>
        </w:numPr>
        <w:spacing w:after="80" w:before="0"/>
      </w:pPr>
      <w:r>
        <w:rPr>
          <w:rFonts w:ascii="Arial" w:cs="Arial" w:eastAsia="Arial" w:hAnsi="Arial"/>
          <w:color w:val="1A1A2E"/>
          <w:sz w:val="20"/>
          <w:szCs w:val="20"/>
        </w:rPr>
        <w:t xml:space="preserve">Creative works, reports, proposals, and presentations.</w:t>
      </w:r>
    </w:p>
    <w:p>
      <w:pPr>
        <w:pStyle w:val="ListParagraph"/>
        <w:numPr>
          <w:ilvl w:val="0"/>
          <w:numId w:val="2"/>
        </w:numPr>
        <w:spacing w:after="80" w:before="0"/>
      </w:pPr>
      <w:r>
        <w:rPr>
          <w:rFonts w:ascii="Arial" w:cs="Arial" w:eastAsia="Arial" w:hAnsi="Arial"/>
          <w:color w:val="1A1A2E"/>
          <w:sz w:val="20"/>
          <w:szCs w:val="20"/>
        </w:rPr>
        <w:t xml:space="preserve">Customer lists, databases, and business intelligence.</w:t>
      </w:r>
    </w:p>
    <w:p>
      <w:pPr>
        <w:pStyle w:val="ListParagraph"/>
        <w:numPr>
          <w:ilvl w:val="0"/>
          <w:numId w:val="2"/>
        </w:numPr>
        <w:spacing w:after="80" w:before="0"/>
      </w:pPr>
      <w:r>
        <w:rPr>
          <w:rFonts w:ascii="Arial" w:cs="Arial" w:eastAsia="Arial" w:hAnsi="Arial"/>
          <w:color w:val="1A1A2E"/>
          <w:sz w:val="20"/>
          <w:szCs w:val="20"/>
        </w:rPr>
        <w:t xml:space="preserve">Inventions and innovations conceived in the course of employment.</w:t>
      </w:r>
    </w:p>
    <w:p>
      <w:pPr>
        <w:spacing w:after="120" w:before="80"/>
        <w:ind w:left="720"/>
      </w:pPr>
      <w:r>
        <w:rPr>
          <w:rFonts w:ascii="Arial" w:cs="Arial" w:eastAsia="Arial" w:hAnsi="Arial"/>
          <w:i/>
          <w:iCs/>
          <w:color w:val="555555"/>
          <w:sz w:val="18"/>
          <w:szCs w:val="18"/>
        </w:rPr>
        <w:t xml:space="preserve">Note: Pre-existing IP must be disclosed at onboarding and does not transfer to MGT without a separate written agreement.</w:t>
      </w:r>
    </w:p>
    <w:p>
      <w:pPr>
        <w:pStyle w:val="Heading2"/>
        <w:spacing w:after="120" w:before="240"/>
      </w:pPr>
      <w:r>
        <w:rPr>
          <w:rFonts w:ascii="Arial" w:cs="Arial" w:eastAsia="Arial" w:hAnsi="Arial"/>
          <w:b/>
          <w:bCs/>
          <w:color w:val="1B3A6B"/>
          <w:sz w:val="26"/>
          <w:szCs w:val="26"/>
        </w:rPr>
        <w:t xml:space="preserve">17.4 Employee Obligations</w:t>
      </w:r>
    </w:p>
    <w:p>
      <w:pPr>
        <w:pStyle w:val="ListParagraph"/>
        <w:numPr>
          <w:ilvl w:val="0"/>
          <w:numId w:val="2"/>
        </w:numPr>
        <w:spacing w:after="80" w:before="0"/>
      </w:pPr>
      <w:r>
        <w:rPr>
          <w:rFonts w:ascii="Arial" w:cs="Arial" w:eastAsia="Arial" w:hAnsi="Arial"/>
          <w:color w:val="1A1A2E"/>
          <w:sz w:val="20"/>
          <w:szCs w:val="20"/>
        </w:rPr>
        <w:t xml:space="preserve">Promptly disclose any IP created in the course of employment to the Legal department.</w:t>
      </w:r>
    </w:p>
    <w:p>
      <w:pPr>
        <w:pStyle w:val="ListParagraph"/>
        <w:numPr>
          <w:ilvl w:val="0"/>
          <w:numId w:val="2"/>
        </w:numPr>
        <w:spacing w:after="80" w:before="0"/>
      </w:pPr>
      <w:r>
        <w:rPr>
          <w:rFonts w:ascii="Arial" w:cs="Arial" w:eastAsia="Arial" w:hAnsi="Arial"/>
          <w:color w:val="1A1A2E"/>
          <w:sz w:val="20"/>
          <w:szCs w:val="20"/>
        </w:rPr>
        <w:t xml:space="preserve">Execute all documents reasonably required to establish MGT's ownership.</w:t>
      </w:r>
    </w:p>
    <w:p>
      <w:pPr>
        <w:pStyle w:val="ListParagraph"/>
        <w:numPr>
          <w:ilvl w:val="0"/>
          <w:numId w:val="2"/>
        </w:numPr>
        <w:spacing w:after="80" w:before="0"/>
      </w:pPr>
      <w:r>
        <w:rPr>
          <w:rFonts w:ascii="Arial" w:cs="Arial" w:eastAsia="Arial" w:hAnsi="Arial"/>
          <w:color w:val="1A1A2E"/>
          <w:sz w:val="20"/>
          <w:szCs w:val="20"/>
        </w:rPr>
        <w:t xml:space="preserve">Protect trade secrets and confidential information during and after employment.</w:t>
      </w:r>
    </w:p>
    <w:p>
      <w:pPr>
        <w:pStyle w:val="ListParagraph"/>
        <w:numPr>
          <w:ilvl w:val="0"/>
          <w:numId w:val="2"/>
        </w:numPr>
        <w:spacing w:after="80" w:before="0"/>
      </w:pPr>
      <w:r>
        <w:rPr>
          <w:rFonts w:ascii="Arial" w:cs="Arial" w:eastAsia="Arial" w:hAnsi="Arial"/>
          <w:color w:val="1A1A2E"/>
          <w:sz w:val="20"/>
          <w:szCs w:val="20"/>
        </w:rPr>
        <w:t xml:space="preserve">Not use MGT IP for personal benefit or disclose it to third parties without authorisation.</w:t>
      </w:r>
    </w:p>
    <w:p>
      <w:pPr>
        <w:pStyle w:val="Heading2"/>
        <w:spacing w:after="120" w:before="240"/>
      </w:pPr>
      <w:r>
        <w:rPr>
          <w:rFonts w:ascii="Arial" w:cs="Arial" w:eastAsia="Arial" w:hAnsi="Arial"/>
          <w:b/>
          <w:bCs/>
          <w:color w:val="1B3A6B"/>
          <w:sz w:val="26"/>
          <w:szCs w:val="26"/>
        </w:rPr>
        <w:t xml:space="preserve">17.5 Third-Party IP</w:t>
      </w:r>
    </w:p>
    <w:p>
      <w:pPr>
        <w:spacing w:after="120" w:before="0"/>
      </w:pPr>
      <w:r>
        <w:rPr>
          <w:rFonts w:ascii="Arial" w:cs="Arial" w:eastAsia="Arial" w:hAnsi="Arial"/>
          <w:color w:val="1A1A2E"/>
          <w:sz w:val="20"/>
          <w:szCs w:val="20"/>
        </w:rPr>
        <w:t xml:space="preserve">Employees must respect the IP rights of third parties. Unlicensed use of third-party software, content, or IP is prohibited. Any use of third-party IP in company work must be reviewed by the Legal department and appropriately licensed.</w:t>
      </w:r>
    </w:p>
    <w:p>
      <w:pPr>
        <w:pStyle w:val="Heading2"/>
        <w:spacing w:after="120" w:before="240"/>
      </w:pPr>
      <w:r>
        <w:rPr>
          <w:rFonts w:ascii="Arial" w:cs="Arial" w:eastAsia="Arial" w:hAnsi="Arial"/>
          <w:b/>
          <w:bCs/>
          <w:color w:val="1B3A6B"/>
          <w:sz w:val="26"/>
          <w:szCs w:val="26"/>
        </w:rPr>
        <w:t xml:space="preserve">17.6 Post-Employment Obligations</w:t>
      </w:r>
    </w:p>
    <w:p>
      <w:pPr>
        <w:spacing w:after="120" w:before="0"/>
      </w:pPr>
      <w:r>
        <w:rPr>
          <w:rFonts w:ascii="Arial" w:cs="Arial" w:eastAsia="Arial" w:hAnsi="Arial"/>
          <w:color w:val="1A1A2E"/>
          <w:sz w:val="20"/>
          <w:szCs w:val="20"/>
        </w:rPr>
        <w:t xml:space="preserve">Upon termination of employment, employees must:</w:t>
      </w:r>
    </w:p>
    <w:p>
      <w:pPr>
        <w:pStyle w:val="ListParagraph"/>
        <w:numPr>
          <w:ilvl w:val="0"/>
          <w:numId w:val="2"/>
        </w:numPr>
        <w:spacing w:after="80" w:before="0"/>
      </w:pPr>
      <w:r>
        <w:rPr>
          <w:rFonts w:ascii="Arial" w:cs="Arial" w:eastAsia="Arial" w:hAnsi="Arial"/>
          <w:color w:val="1A1A2E"/>
          <w:sz w:val="20"/>
          <w:szCs w:val="20"/>
        </w:rPr>
        <w:t xml:space="preserve">Return all company property including documents, devices, and materials.</w:t>
      </w:r>
    </w:p>
    <w:p>
      <w:pPr>
        <w:pStyle w:val="ListParagraph"/>
        <w:numPr>
          <w:ilvl w:val="0"/>
          <w:numId w:val="2"/>
        </w:numPr>
        <w:spacing w:after="80" w:before="0"/>
      </w:pPr>
      <w:r>
        <w:rPr>
          <w:rFonts w:ascii="Arial" w:cs="Arial" w:eastAsia="Arial" w:hAnsi="Arial"/>
          <w:color w:val="1A1A2E"/>
          <w:sz w:val="20"/>
          <w:szCs w:val="20"/>
        </w:rPr>
        <w:t xml:space="preserve">Delete or destroy all copies of MGT IP held on personal devices.</w:t>
      </w:r>
    </w:p>
    <w:p>
      <w:pPr>
        <w:pStyle w:val="ListParagraph"/>
        <w:numPr>
          <w:ilvl w:val="0"/>
          <w:numId w:val="2"/>
        </w:numPr>
        <w:spacing w:after="80" w:before="0"/>
      </w:pPr>
      <w:r>
        <w:rPr>
          <w:rFonts w:ascii="Arial" w:cs="Arial" w:eastAsia="Arial" w:hAnsi="Arial"/>
          <w:color w:val="1A1A2E"/>
          <w:sz w:val="20"/>
          <w:szCs w:val="20"/>
        </w:rPr>
        <w:t xml:space="preserve">Continue to maintain confidentiality of trade secrets and proprietary information indefinitely.</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200"/>
              <w:left w:type="dxa" w:w="300"/>
              <w:bottom w:type="dxa" w:w="200"/>
              <w:right w:type="dxa" w:w="300"/>
            </w:tcMar>
          </w:tcPr>
          <w:p>
            <w:pPr>
              <w:spacing w:after="40" w:before="0"/>
            </w:pPr>
            <w:r>
              <w:rPr>
                <w:rFonts w:ascii="Arial" w:cs="Arial" w:eastAsia="Arial" w:hAnsi="Arial"/>
                <w:b/>
                <w:bCs/>
                <w:color w:val="C8960C"/>
                <w:sz w:val="18"/>
                <w:szCs w:val="18"/>
              </w:rPr>
              <w:t xml:space="preserve">POLICY 18</w:t>
            </w:r>
          </w:p>
          <w:p>
            <w:pPr>
              <w:spacing w:after="0" w:before="0"/>
            </w:pPr>
            <w:r>
              <w:rPr>
                <w:rFonts w:ascii="Arial" w:cs="Arial" w:eastAsia="Arial" w:hAnsi="Arial"/>
                <w:b/>
                <w:bCs/>
                <w:color w:val="FFFFFF"/>
                <w:sz w:val="32"/>
                <w:szCs w:val="32"/>
              </w:rPr>
              <w:t xml:space="preserve">Grievance Handling Policy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MGT-HR-008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January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 December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Applies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employees</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18.1 Purpose</w:t>
      </w:r>
    </w:p>
    <w:p>
      <w:pPr>
        <w:spacing w:after="120" w:before="0"/>
      </w:pPr>
      <w:r>
        <w:rPr>
          <w:rFonts w:ascii="Arial" w:cs="Arial" w:eastAsia="Arial" w:hAnsi="Arial"/>
          <w:color w:val="1A1A2E"/>
          <w:sz w:val="20"/>
          <w:szCs w:val="20"/>
        </w:rPr>
        <w:t xml:space="preserve">This policy provides a fair, structured, and accessible mechanism for employees to raise workplace grievances and have them addressed promptly, impartially, and consistently.</w:t>
      </w:r>
    </w:p>
    <w:p>
      <w:pPr>
        <w:pStyle w:val="Heading2"/>
        <w:spacing w:after="120" w:before="240"/>
      </w:pPr>
      <w:r>
        <w:rPr>
          <w:rFonts w:ascii="Arial" w:cs="Arial" w:eastAsia="Arial" w:hAnsi="Arial"/>
          <w:b/>
          <w:bCs/>
          <w:color w:val="1B3A6B"/>
          <w:sz w:val="26"/>
          <w:szCs w:val="26"/>
        </w:rPr>
        <w:t xml:space="preserve">18.2 Definition</w:t>
      </w:r>
    </w:p>
    <w:p>
      <w:pPr>
        <w:spacing w:after="120" w:before="0"/>
      </w:pPr>
      <w:r>
        <w:rPr>
          <w:rFonts w:ascii="Arial" w:cs="Arial" w:eastAsia="Arial" w:hAnsi="Arial"/>
          <w:color w:val="1A1A2E"/>
          <w:sz w:val="20"/>
          <w:szCs w:val="20"/>
        </w:rPr>
        <w:t xml:space="preserve">A grievance is a formal complaint raised by an employee concerning a perceived unfairness, injustice, or problem related to their employment, including (but not limited to):</w:t>
      </w:r>
    </w:p>
    <w:p>
      <w:pPr>
        <w:pStyle w:val="ListParagraph"/>
        <w:numPr>
          <w:ilvl w:val="0"/>
          <w:numId w:val="2"/>
        </w:numPr>
        <w:spacing w:after="80" w:before="0"/>
      </w:pPr>
      <w:r>
        <w:rPr>
          <w:rFonts w:ascii="Arial" w:cs="Arial" w:eastAsia="Arial" w:hAnsi="Arial"/>
          <w:color w:val="1A1A2E"/>
          <w:sz w:val="20"/>
          <w:szCs w:val="20"/>
        </w:rPr>
        <w:t xml:space="preserve">Unfair treatment, discrimination, or harassment.</w:t>
      </w:r>
    </w:p>
    <w:p>
      <w:pPr>
        <w:pStyle w:val="ListParagraph"/>
        <w:numPr>
          <w:ilvl w:val="0"/>
          <w:numId w:val="2"/>
        </w:numPr>
        <w:spacing w:after="80" w:before="0"/>
      </w:pPr>
      <w:r>
        <w:rPr>
          <w:rFonts w:ascii="Arial" w:cs="Arial" w:eastAsia="Arial" w:hAnsi="Arial"/>
          <w:color w:val="1A1A2E"/>
          <w:sz w:val="20"/>
          <w:szCs w:val="20"/>
        </w:rPr>
        <w:t xml:space="preserve">Disputes over pay, benefits, or working conditions.</w:t>
      </w:r>
    </w:p>
    <w:p>
      <w:pPr>
        <w:pStyle w:val="ListParagraph"/>
        <w:numPr>
          <w:ilvl w:val="0"/>
          <w:numId w:val="2"/>
        </w:numPr>
        <w:spacing w:after="80" w:before="0"/>
      </w:pPr>
      <w:r>
        <w:rPr>
          <w:rFonts w:ascii="Arial" w:cs="Arial" w:eastAsia="Arial" w:hAnsi="Arial"/>
          <w:color w:val="1A1A2E"/>
          <w:sz w:val="20"/>
          <w:szCs w:val="20"/>
        </w:rPr>
        <w:t xml:space="preserve">Concerns about management conduct or decisions.</w:t>
      </w:r>
    </w:p>
    <w:p>
      <w:pPr>
        <w:pStyle w:val="ListParagraph"/>
        <w:numPr>
          <w:ilvl w:val="0"/>
          <w:numId w:val="2"/>
        </w:numPr>
        <w:spacing w:after="80" w:before="0"/>
      </w:pPr>
      <w:r>
        <w:rPr>
          <w:rFonts w:ascii="Arial" w:cs="Arial" w:eastAsia="Arial" w:hAnsi="Arial"/>
          <w:color w:val="1A1A2E"/>
          <w:sz w:val="20"/>
          <w:szCs w:val="20"/>
        </w:rPr>
        <w:t xml:space="preserve">Application or interpretation of company policies.</w:t>
      </w:r>
    </w:p>
    <w:p>
      <w:pPr>
        <w:pStyle w:val="ListParagraph"/>
        <w:numPr>
          <w:ilvl w:val="0"/>
          <w:numId w:val="2"/>
        </w:numPr>
        <w:spacing w:after="80" w:before="0"/>
      </w:pPr>
      <w:r>
        <w:rPr>
          <w:rFonts w:ascii="Arial" w:cs="Arial" w:eastAsia="Arial" w:hAnsi="Arial"/>
          <w:color w:val="1A1A2E"/>
          <w:sz w:val="20"/>
          <w:szCs w:val="20"/>
        </w:rPr>
        <w:t xml:space="preserve">Concerns arising from organisational changes or restructuring.</w:t>
      </w:r>
    </w:p>
    <w:p>
      <w:pPr>
        <w:pStyle w:val="Heading2"/>
        <w:spacing w:after="120" w:before="240"/>
      </w:pPr>
      <w:r>
        <w:rPr>
          <w:rFonts w:ascii="Arial" w:cs="Arial" w:eastAsia="Arial" w:hAnsi="Arial"/>
          <w:b/>
          <w:bCs/>
          <w:color w:val="1B3A6B"/>
          <w:sz w:val="26"/>
          <w:szCs w:val="26"/>
        </w:rPr>
        <w:t xml:space="preserve">18.3 Grievance Procedure</w:t>
      </w:r>
    </w:p>
    <w:p>
      <w:pPr>
        <w:pStyle w:val="Heading3"/>
        <w:spacing w:after="80" w:before="180"/>
      </w:pPr>
      <w:r>
        <w:rPr>
          <w:rFonts w:ascii="Arial" w:cs="Arial" w:eastAsia="Arial" w:hAnsi="Arial"/>
          <w:b/>
          <w:bCs/>
          <w:color w:val="555555"/>
          <w:sz w:val="22"/>
          <w:szCs w:val="22"/>
        </w:rPr>
        <w:t xml:space="preserve">Step 1: Informal Resolution</w:t>
      </w:r>
    </w:p>
    <w:p>
      <w:pPr>
        <w:spacing w:after="120" w:before="0"/>
      </w:pPr>
      <w:r>
        <w:rPr>
          <w:rFonts w:ascii="Arial" w:cs="Arial" w:eastAsia="Arial" w:hAnsi="Arial"/>
          <w:color w:val="1A1A2E"/>
          <w:sz w:val="20"/>
          <w:szCs w:val="20"/>
        </w:rPr>
        <w:t xml:space="preserve">The employee is encouraged to first attempt to resolve the matter informally by discussing the issue directly with their line manager. This should be done promptly and before the situation escalates. HR can provide coaching support at this stage.</w:t>
      </w:r>
    </w:p>
    <w:p>
      <w:pPr>
        <w:pStyle w:val="Heading3"/>
        <w:spacing w:after="80" w:before="180"/>
      </w:pPr>
      <w:r>
        <w:rPr>
          <w:rFonts w:ascii="Arial" w:cs="Arial" w:eastAsia="Arial" w:hAnsi="Arial"/>
          <w:b/>
          <w:bCs/>
          <w:color w:val="555555"/>
          <w:sz w:val="22"/>
          <w:szCs w:val="22"/>
        </w:rPr>
        <w:t xml:space="preserve">Step 2: Formal Grievance Submission</w:t>
      </w:r>
    </w:p>
    <w:p>
      <w:pPr>
        <w:spacing w:after="120" w:before="0"/>
      </w:pPr>
      <w:r>
        <w:rPr>
          <w:rFonts w:ascii="Arial" w:cs="Arial" w:eastAsia="Arial" w:hAnsi="Arial"/>
          <w:color w:val="1A1A2E"/>
          <w:sz w:val="20"/>
          <w:szCs w:val="20"/>
        </w:rPr>
        <w:t xml:space="preserve">If informal resolution is not successful or appropriate, the employee must submit a written grievance to HR using the Grievance Form (GRF-001), clearly describing:</w:t>
      </w:r>
    </w:p>
    <w:p>
      <w:pPr>
        <w:pStyle w:val="ListParagraph"/>
        <w:numPr>
          <w:ilvl w:val="0"/>
          <w:numId w:val="2"/>
        </w:numPr>
        <w:spacing w:after="80" w:before="0"/>
      </w:pPr>
      <w:r>
        <w:rPr>
          <w:rFonts w:ascii="Arial" w:cs="Arial" w:eastAsia="Arial" w:hAnsi="Arial"/>
          <w:color w:val="1A1A2E"/>
          <w:sz w:val="20"/>
          <w:szCs w:val="20"/>
        </w:rPr>
        <w:t xml:space="preserve">The nature of the grievance.</w:t>
      </w:r>
    </w:p>
    <w:p>
      <w:pPr>
        <w:pStyle w:val="ListParagraph"/>
        <w:numPr>
          <w:ilvl w:val="0"/>
          <w:numId w:val="2"/>
        </w:numPr>
        <w:spacing w:after="80" w:before="0"/>
      </w:pPr>
      <w:r>
        <w:rPr>
          <w:rFonts w:ascii="Arial" w:cs="Arial" w:eastAsia="Arial" w:hAnsi="Arial"/>
          <w:color w:val="1A1A2E"/>
          <w:sz w:val="20"/>
          <w:szCs w:val="20"/>
        </w:rPr>
        <w:t xml:space="preserve">The date(s) on which the issue(s) occurred.</w:t>
      </w:r>
    </w:p>
    <w:p>
      <w:pPr>
        <w:pStyle w:val="ListParagraph"/>
        <w:numPr>
          <w:ilvl w:val="0"/>
          <w:numId w:val="2"/>
        </w:numPr>
        <w:spacing w:after="80" w:before="0"/>
      </w:pPr>
      <w:r>
        <w:rPr>
          <w:rFonts w:ascii="Arial" w:cs="Arial" w:eastAsia="Arial" w:hAnsi="Arial"/>
          <w:color w:val="1A1A2E"/>
          <w:sz w:val="20"/>
          <w:szCs w:val="20"/>
        </w:rPr>
        <w:t xml:space="preserve">The names of individuals involved.</w:t>
      </w:r>
    </w:p>
    <w:p>
      <w:pPr>
        <w:pStyle w:val="ListParagraph"/>
        <w:numPr>
          <w:ilvl w:val="0"/>
          <w:numId w:val="2"/>
        </w:numPr>
        <w:spacing w:after="80" w:before="0"/>
      </w:pPr>
      <w:r>
        <w:rPr>
          <w:rFonts w:ascii="Arial" w:cs="Arial" w:eastAsia="Arial" w:hAnsi="Arial"/>
          <w:color w:val="1A1A2E"/>
          <w:sz w:val="20"/>
          <w:szCs w:val="20"/>
        </w:rPr>
        <w:t xml:space="preserve">The specific relief or resolution sought.</w:t>
      </w:r>
    </w:p>
    <w:p>
      <w:pPr>
        <w:pStyle w:val="Heading3"/>
        <w:spacing w:after="80" w:before="180"/>
      </w:pPr>
      <w:r>
        <w:rPr>
          <w:rFonts w:ascii="Arial" w:cs="Arial" w:eastAsia="Arial" w:hAnsi="Arial"/>
          <w:b/>
          <w:bCs/>
          <w:color w:val="555555"/>
          <w:sz w:val="22"/>
          <w:szCs w:val="22"/>
        </w:rPr>
        <w:t xml:space="preserve">Step 3: Grievance Meeting</w:t>
      </w:r>
    </w:p>
    <w:p>
      <w:pPr>
        <w:spacing w:after="120" w:before="0"/>
      </w:pPr>
      <w:r>
        <w:rPr>
          <w:rFonts w:ascii="Arial" w:cs="Arial" w:eastAsia="Arial" w:hAnsi="Arial"/>
          <w:color w:val="1A1A2E"/>
          <w:sz w:val="20"/>
          <w:szCs w:val="20"/>
        </w:rPr>
        <w:t xml:space="preserve">HR will acknowledge the grievance within 3 working days and convene a formal grievance meeting within 10 working days. The employee may bring a support person (colleague or trade union representative).</w:t>
      </w:r>
    </w:p>
    <w:p>
      <w:pPr>
        <w:pStyle w:val="Heading3"/>
        <w:spacing w:after="80" w:before="180"/>
      </w:pPr>
      <w:r>
        <w:rPr>
          <w:rFonts w:ascii="Arial" w:cs="Arial" w:eastAsia="Arial" w:hAnsi="Arial"/>
          <w:b/>
          <w:bCs/>
          <w:color w:val="555555"/>
          <w:sz w:val="22"/>
          <w:szCs w:val="22"/>
        </w:rPr>
        <w:t xml:space="preserve">Step 4: Investigation &amp; Decision</w:t>
      </w:r>
    </w:p>
    <w:p>
      <w:pPr>
        <w:spacing w:after="120" w:before="0"/>
      </w:pPr>
      <w:r>
        <w:rPr>
          <w:rFonts w:ascii="Arial" w:cs="Arial" w:eastAsia="Arial" w:hAnsi="Arial"/>
          <w:color w:val="1A1A2E"/>
          <w:sz w:val="20"/>
          <w:szCs w:val="20"/>
        </w:rPr>
        <w:t xml:space="preserve">A thorough and impartial investigation will be conducted. A formal written decision will be communicated to the employee within 15 working days of the grievance meeting.</w:t>
      </w:r>
    </w:p>
    <w:p>
      <w:pPr>
        <w:pStyle w:val="Heading3"/>
        <w:spacing w:after="80" w:before="180"/>
      </w:pPr>
      <w:r>
        <w:rPr>
          <w:rFonts w:ascii="Arial" w:cs="Arial" w:eastAsia="Arial" w:hAnsi="Arial"/>
          <w:b/>
          <w:bCs/>
          <w:color w:val="555555"/>
          <w:sz w:val="22"/>
          <w:szCs w:val="22"/>
        </w:rPr>
        <w:t xml:space="preserve">Step 5: Appeal</w:t>
      </w:r>
    </w:p>
    <w:p>
      <w:pPr>
        <w:spacing w:after="120" w:before="0"/>
      </w:pPr>
      <w:r>
        <w:rPr>
          <w:rFonts w:ascii="Arial" w:cs="Arial" w:eastAsia="Arial" w:hAnsi="Arial"/>
          <w:color w:val="1A1A2E"/>
          <w:sz w:val="20"/>
          <w:szCs w:val="20"/>
        </w:rPr>
        <w:t xml:space="preserve">If the employee is dissatisfied with the outcome, they may appeal in writing within 5 working days. The appeal will be heard by a senior manager not previously involved, and a final decision issued within 15 working days.</w:t>
      </w:r>
    </w:p>
    <w:p>
      <w:pPr>
        <w:pStyle w:val="Heading2"/>
        <w:spacing w:after="120" w:before="240"/>
      </w:pPr>
      <w:r>
        <w:rPr>
          <w:rFonts w:ascii="Arial" w:cs="Arial" w:eastAsia="Arial" w:hAnsi="Arial"/>
          <w:b/>
          <w:bCs/>
          <w:color w:val="1B3A6B"/>
          <w:sz w:val="26"/>
          <w:szCs w:val="26"/>
        </w:rPr>
        <w:t xml:space="preserve">18.4 External Resolution</w:t>
      </w:r>
    </w:p>
    <w:p>
      <w:pPr>
        <w:spacing w:after="120" w:before="0"/>
      </w:pPr>
      <w:r>
        <w:rPr>
          <w:rFonts w:ascii="Arial" w:cs="Arial" w:eastAsia="Arial" w:hAnsi="Arial"/>
          <w:color w:val="1A1A2E"/>
          <w:sz w:val="20"/>
          <w:szCs w:val="20"/>
        </w:rPr>
        <w:t xml:space="preserve">If the internal process does not resolve the matter, employees retain the right to refer the dispute to the relevant external body (e.g., Commission for Conciliation, Mediation and Arbitration – CCMA, or equivalent).</w:t>
      </w:r>
    </w:p>
    <w:p>
      <w:pPr>
        <w:pStyle w:val="Heading2"/>
        <w:spacing w:after="120" w:before="240"/>
      </w:pPr>
      <w:r>
        <w:rPr>
          <w:rFonts w:ascii="Arial" w:cs="Arial" w:eastAsia="Arial" w:hAnsi="Arial"/>
          <w:b/>
          <w:bCs/>
          <w:color w:val="1B3A6B"/>
          <w:sz w:val="26"/>
          <w:szCs w:val="26"/>
        </w:rPr>
        <w:t xml:space="preserve">18.5 Confidentiality</w:t>
      </w:r>
    </w:p>
    <w:p>
      <w:pPr>
        <w:spacing w:after="120" w:before="0"/>
      </w:pPr>
      <w:r>
        <w:rPr>
          <w:rFonts w:ascii="Arial" w:cs="Arial" w:eastAsia="Arial" w:hAnsi="Arial"/>
          <w:color w:val="1A1A2E"/>
          <w:sz w:val="20"/>
          <w:szCs w:val="20"/>
        </w:rPr>
        <w:t xml:space="preserve">All grievance information will be kept strictly confidential and disclosed only on a need-to-know basis. Breaches of confidentiality during a grievance process are themselves subject to disciplinary action.</w:t>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C8960C" w:val="clear"/>
            <w:tcMar>
              <w:top w:type="dxa" w:w="300"/>
              <w:left w:type="dxa" w:w="400"/>
              <w:bottom w:type="dxa" w:w="300"/>
              <w:right w:type="dxa" w:w="400"/>
            </w:tcMar>
          </w:tcPr>
          <w:p>
            <w:pPr>
              <w:spacing w:after="80" w:before="0"/>
              <w:jc w:val="center"/>
            </w:pPr>
            <w:r>
              <w:rPr>
                <w:rFonts w:ascii="Arial" w:cs="Arial" w:eastAsia="Arial" w:hAnsi="Arial"/>
                <w:b/>
                <w:bCs/>
                <w:color w:val="1B3A6B"/>
                <w:sz w:val="20"/>
                <w:szCs w:val="20"/>
              </w:rPr>
              <w:t xml:space="preserve">PART TWO</w:t>
            </w:r>
          </w:p>
          <w:p>
            <w:pPr>
              <w:spacing w:after="0" w:before="0"/>
              <w:jc w:val="center"/>
            </w:pPr>
            <w:r>
              <w:rPr>
                <w:rFonts w:ascii="Arial" w:cs="Arial" w:eastAsia="Arial" w:hAnsi="Arial"/>
                <w:b/>
                <w:bCs/>
                <w:color w:val="1B3A6B"/>
                <w:sz w:val="48"/>
                <w:szCs w:val="48"/>
              </w:rPr>
              <w:t xml:space="preserve">EMPLOYEE HANDBOOK</w:t>
            </w:r>
          </w:p>
        </w:tc>
      </w:tr>
    </w:tbl>
    <w:p>
      <w:pPr>
        <w:spacing w:after="0" w:before="0"/>
      </w:pPr>
      <w:r>
        <w:t xml:space="preserve"/>
      </w:r>
    </w:p>
    <w:p>
      <w:pPr>
        <w:pStyle w:val="Heading1"/>
        <w:pBdr>
          <w:bottom w:val="single" w:color="C8960C" w:sz="6" w:space="4"/>
        </w:pBdr>
        <w:spacing w:after="160" w:before="360"/>
      </w:pPr>
      <w:r>
        <w:rPr>
          <w:rFonts w:ascii="Arial" w:cs="Arial" w:eastAsia="Arial" w:hAnsi="Arial"/>
          <w:b/>
          <w:bCs/>
          <w:color w:val="1B3A6B"/>
          <w:sz w:val="36"/>
          <w:szCs w:val="36"/>
        </w:rPr>
        <w:t xml:space="preserve">Welcome to MGT</w:t>
      </w:r>
    </w:p>
    <w:p>
      <w:pPr>
        <w:spacing w:after="120" w:before="0"/>
      </w:pPr>
      <w:r>
        <w:rPr>
          <w:rFonts w:ascii="Arial" w:cs="Arial" w:eastAsia="Arial" w:hAnsi="Arial"/>
          <w:color w:val="1A1A2E"/>
          <w:sz w:val="20"/>
          <w:szCs w:val="20"/>
        </w:rPr>
        <w:t xml:space="preserve">Dear New Employee,</w:t>
      </w:r>
    </w:p>
    <w:p>
      <w:pPr>
        <w:spacing w:after="0" w:before="0"/>
      </w:pPr>
      <w:r>
        <w:t xml:space="preserve"/>
      </w:r>
    </w:p>
    <w:p>
      <w:pPr>
        <w:spacing w:after="120" w:before="0"/>
      </w:pPr>
      <w:r>
        <w:rPr>
          <w:rFonts w:ascii="Arial" w:cs="Arial" w:eastAsia="Arial" w:hAnsi="Arial"/>
          <w:color w:val="1A1A2E"/>
          <w:sz w:val="20"/>
          <w:szCs w:val="20"/>
        </w:rPr>
        <w:t xml:space="preserve">On behalf of the entire MGT team, welcome! We are excited to have you join us, and we are committed to making your experience here rewarding, fulfilling, and successful.</w:t>
      </w:r>
    </w:p>
    <w:p>
      <w:pPr>
        <w:spacing w:after="120" w:before="0"/>
      </w:pPr>
      <w:r>
        <w:rPr>
          <w:rFonts w:ascii="Arial" w:cs="Arial" w:eastAsia="Arial" w:hAnsi="Arial"/>
          <w:color w:val="1A1A2E"/>
          <w:sz w:val="20"/>
          <w:szCs w:val="20"/>
        </w:rPr>
        <w:t xml:space="preserve">This Employee Handbook is your comprehensive guide to life at MGT. It covers everything you need to know: who we are, how we operate, what you can expect from us, and what we expect from you. Please take the time to read it thoroughly.</w:t>
      </w:r>
    </w:p>
    <w:p>
      <w:pPr>
        <w:spacing w:after="120" w:before="0"/>
      </w:pPr>
      <w:r>
        <w:rPr>
          <w:rFonts w:ascii="Arial" w:cs="Arial" w:eastAsia="Arial" w:hAnsi="Arial"/>
          <w:color w:val="1A1A2E"/>
          <w:sz w:val="20"/>
          <w:szCs w:val="20"/>
        </w:rPr>
        <w:t xml:space="preserve">If you ever have questions that are not covered here, or if you need clarification on any topic, please do not hesitate to contact the Human Resources department. We are here to help.</w:t>
      </w:r>
    </w:p>
    <w:p>
      <w:pPr>
        <w:spacing w:after="0" w:before="0"/>
      </w:pPr>
      <w:r>
        <w:t xml:space="preserve"/>
      </w:r>
    </w:p>
    <w:p>
      <w:pPr>
        <w:spacing w:after="120" w:before="0"/>
      </w:pPr>
      <w:r>
        <w:rPr>
          <w:rFonts w:ascii="Arial" w:cs="Arial" w:eastAsia="Arial" w:hAnsi="Arial"/>
          <w:color w:val="1A1A2E"/>
          <w:sz w:val="20"/>
          <w:szCs w:val="20"/>
        </w:rPr>
        <w:t xml:space="preserve">Warm regards,</w:t>
      </w:r>
    </w:p>
    <w:p>
      <w:pPr>
        <w:spacing w:after="0" w:before="0"/>
      </w:pPr>
      <w:r>
        <w:t xml:space="preserve"/>
      </w:r>
    </w:p>
    <w:p>
      <w:pPr>
        <w:spacing w:after="120" w:before="0"/>
      </w:pPr>
      <w:r>
        <w:rPr>
          <w:rFonts w:ascii="Arial" w:cs="Arial" w:eastAsia="Arial" w:hAnsi="Arial"/>
          <w:color w:val="1A1A2E"/>
          <w:sz w:val="20"/>
          <w:szCs w:val="20"/>
        </w:rPr>
        <w:t xml:space="preserve">The Executive Team</w:t>
      </w:r>
    </w:p>
    <w:p>
      <w:pPr>
        <w:spacing w:after="120" w:before="0"/>
      </w:pPr>
      <w:r>
        <w:rPr>
          <w:rFonts w:ascii="Arial" w:cs="Arial" w:eastAsia="Arial" w:hAnsi="Arial"/>
          <w:color w:val="1A1A2E"/>
          <w:sz w:val="20"/>
          <w:szCs w:val="20"/>
        </w:rPr>
        <w:t xml:space="preserve">MGT – MgucaTECH</w:t>
      </w:r>
    </w:p>
    <w:p>
      <w:pPr>
        <w:spacing w:after="0" w:before="0"/>
      </w:pPr>
      <w:r>
        <w:t xml:space="preserve"/>
      </w:r>
    </w:p>
    <w:p>
      <w:pPr>
        <w:pStyle w:val="Heading1"/>
        <w:pBdr>
          <w:bottom w:val="single" w:color="C8960C" w:sz="6" w:space="4"/>
        </w:pBdr>
        <w:spacing w:after="160" w:before="360"/>
      </w:pPr>
      <w:r>
        <w:rPr>
          <w:rFonts w:ascii="Arial" w:cs="Arial" w:eastAsia="Arial" w:hAnsi="Arial"/>
          <w:b/>
          <w:bCs/>
          <w:color w:val="1B3A6B"/>
          <w:sz w:val="36"/>
          <w:szCs w:val="36"/>
        </w:rPr>
        <w:t xml:space="preserve">About MGT</w:t>
      </w:r>
    </w:p>
    <w:p>
      <w:pPr>
        <w:pStyle w:val="Heading2"/>
        <w:spacing w:after="120" w:before="240"/>
      </w:pPr>
      <w:r>
        <w:rPr>
          <w:rFonts w:ascii="Arial" w:cs="Arial" w:eastAsia="Arial" w:hAnsi="Arial"/>
          <w:b/>
          <w:bCs/>
          <w:color w:val="1B3A6B"/>
          <w:sz w:val="26"/>
          <w:szCs w:val="26"/>
        </w:rPr>
        <w:t xml:space="preserve">Our Story</w:t>
      </w:r>
    </w:p>
    <w:p>
      <w:pPr>
        <w:spacing w:after="120" w:before="0"/>
      </w:pPr>
      <w:r>
        <w:rPr>
          <w:rFonts w:ascii="Arial" w:cs="Arial" w:eastAsia="Arial" w:hAnsi="Arial"/>
          <w:color w:val="1A1A2E"/>
          <w:sz w:val="20"/>
          <w:szCs w:val="20"/>
        </w:rPr>
        <w:t xml:space="preserve">MGT – MgucaTECH was founded on the principles of excellence, integrity, and innovation. From our origins as a specialist technology and management consultancy, we have grown into a diversified organisation delivering high-impact solutions to clients across multiple sectors.</w:t>
      </w:r>
    </w:p>
    <w:p>
      <w:pPr>
        <w:pStyle w:val="Heading2"/>
        <w:spacing w:after="120" w:before="240"/>
      </w:pPr>
      <w:r>
        <w:rPr>
          <w:rFonts w:ascii="Arial" w:cs="Arial" w:eastAsia="Arial" w:hAnsi="Arial"/>
          <w:b/>
          <w:bCs/>
          <w:color w:val="1B3A6B"/>
          <w:sz w:val="26"/>
          <w:szCs w:val="26"/>
        </w:rPr>
        <w:t xml:space="preserve">Our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EF2F8" w:val="clear"/>
            <w:tcMar>
              <w:top w:type="dxa" w:w="160"/>
              <w:left w:type="dxa" w:w="240"/>
              <w:bottom w:type="dxa" w:w="160"/>
              <w:right w:type="dxa" w:w="240"/>
            </w:tcMar>
          </w:tcPr>
          <w:p>
            <w:pPr>
              <w:spacing w:after="80" w:before="0"/>
            </w:pPr>
            <w:r>
              <w:rPr>
                <w:rFonts w:ascii="Arial" w:cs="Arial" w:eastAsia="Arial" w:hAnsi="Arial"/>
                <w:b/>
                <w:bCs/>
                <w:color w:val="1B3A6B"/>
                <w:sz w:val="20"/>
                <w:szCs w:val="20"/>
              </w:rPr>
              <w:t xml:space="preserve">Mission</w:t>
            </w:r>
          </w:p>
          <w:p>
            <w:pPr>
              <w:spacing w:after="0" w:before="0"/>
            </w:pPr>
            <w:r>
              <w:rPr>
                <w:rFonts w:ascii="Arial" w:cs="Arial" w:eastAsia="Arial" w:hAnsi="Arial"/>
                <w:color w:val="1A1A2E"/>
                <w:sz w:val="20"/>
                <w:szCs w:val="20"/>
              </w:rPr>
              <w:t xml:space="preserve">To deliver exceptional value to our clients through innovative management solutions, sustainable practices, and a team of dedicated professionals committed to excellence.</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Our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EF2F8" w:val="clear"/>
            <w:tcMar>
              <w:top w:type="dxa" w:w="160"/>
              <w:left w:type="dxa" w:w="240"/>
              <w:bottom w:type="dxa" w:w="160"/>
              <w:right w:type="dxa" w:w="240"/>
            </w:tcMar>
          </w:tcPr>
          <w:p>
            <w:pPr>
              <w:spacing w:after="80" w:before="0"/>
            </w:pPr>
            <w:r>
              <w:rPr>
                <w:rFonts w:ascii="Arial" w:cs="Arial" w:eastAsia="Arial" w:hAnsi="Arial"/>
                <w:b/>
                <w:bCs/>
                <w:color w:val="1B3A6B"/>
                <w:sz w:val="20"/>
                <w:szCs w:val="20"/>
              </w:rPr>
              <w:t xml:space="preserve">Vision</w:t>
            </w:r>
          </w:p>
          <w:p>
            <w:pPr>
              <w:spacing w:after="0" w:before="0"/>
            </w:pPr>
            <w:r>
              <w:rPr>
                <w:rFonts w:ascii="Arial" w:cs="Arial" w:eastAsia="Arial" w:hAnsi="Arial"/>
                <w:color w:val="1A1A2E"/>
                <w:sz w:val="20"/>
                <w:szCs w:val="20"/>
              </w:rPr>
              <w:t xml:space="preserve">To be the most trusted and respected management and trading partner on the African continent, recognised for our integrity, expertise, and transformative impact.</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Our Core Values</w:t>
      </w:r>
    </w:p>
    <w:p>
      <w:pPr>
        <w:pStyle w:val="ListParagraph"/>
        <w:numPr>
          <w:ilvl w:val="0"/>
          <w:numId w:val="2"/>
        </w:numPr>
        <w:spacing w:after="80" w:before="0"/>
      </w:pPr>
      <w:r>
        <w:rPr>
          <w:rFonts w:ascii="Arial" w:cs="Arial" w:eastAsia="Arial" w:hAnsi="Arial"/>
          <w:color w:val="1A1A2E"/>
          <w:sz w:val="20"/>
          <w:szCs w:val="20"/>
        </w:rPr>
        <w:t xml:space="preserve">Integrity: We do the right thing, always.</w:t>
      </w:r>
    </w:p>
    <w:p>
      <w:pPr>
        <w:pStyle w:val="ListParagraph"/>
        <w:numPr>
          <w:ilvl w:val="0"/>
          <w:numId w:val="2"/>
        </w:numPr>
        <w:spacing w:after="80" w:before="0"/>
      </w:pPr>
      <w:r>
        <w:rPr>
          <w:rFonts w:ascii="Arial" w:cs="Arial" w:eastAsia="Arial" w:hAnsi="Arial"/>
          <w:color w:val="1A1A2E"/>
          <w:sz w:val="20"/>
          <w:szCs w:val="20"/>
        </w:rPr>
        <w:t xml:space="preserve">Excellence: We set and exceed the highest standards.</w:t>
      </w:r>
    </w:p>
    <w:p>
      <w:pPr>
        <w:pStyle w:val="ListParagraph"/>
        <w:numPr>
          <w:ilvl w:val="0"/>
          <w:numId w:val="2"/>
        </w:numPr>
        <w:spacing w:after="80" w:before="0"/>
      </w:pPr>
      <w:r>
        <w:rPr>
          <w:rFonts w:ascii="Arial" w:cs="Arial" w:eastAsia="Arial" w:hAnsi="Arial"/>
          <w:color w:val="1A1A2E"/>
          <w:sz w:val="20"/>
          <w:szCs w:val="20"/>
        </w:rPr>
        <w:t xml:space="preserve">Innovation: We challenge conventional thinking and pioneer new solutions.</w:t>
      </w:r>
    </w:p>
    <w:p>
      <w:pPr>
        <w:pStyle w:val="ListParagraph"/>
        <w:numPr>
          <w:ilvl w:val="0"/>
          <w:numId w:val="2"/>
        </w:numPr>
        <w:spacing w:after="80" w:before="0"/>
      </w:pPr>
      <w:r>
        <w:rPr>
          <w:rFonts w:ascii="Arial" w:cs="Arial" w:eastAsia="Arial" w:hAnsi="Arial"/>
          <w:color w:val="1A1A2E"/>
          <w:sz w:val="20"/>
          <w:szCs w:val="20"/>
        </w:rPr>
        <w:t xml:space="preserve">Collaboration: We achieve more together than apart.</w:t>
      </w:r>
    </w:p>
    <w:p>
      <w:pPr>
        <w:pStyle w:val="ListParagraph"/>
        <w:numPr>
          <w:ilvl w:val="0"/>
          <w:numId w:val="2"/>
        </w:numPr>
        <w:spacing w:after="80" w:before="0"/>
      </w:pPr>
      <w:r>
        <w:rPr>
          <w:rFonts w:ascii="Arial" w:cs="Arial" w:eastAsia="Arial" w:hAnsi="Arial"/>
          <w:color w:val="1A1A2E"/>
          <w:sz w:val="20"/>
          <w:szCs w:val="20"/>
        </w:rPr>
        <w:t xml:space="preserve">Accountability: We own our results and our commitments.</w:t>
      </w:r>
    </w:p>
    <w:p>
      <w:pPr>
        <w:pStyle w:val="ListParagraph"/>
        <w:numPr>
          <w:ilvl w:val="0"/>
          <w:numId w:val="2"/>
        </w:numPr>
        <w:spacing w:after="80" w:before="0"/>
      </w:pPr>
      <w:r>
        <w:rPr>
          <w:rFonts w:ascii="Arial" w:cs="Arial" w:eastAsia="Arial" w:hAnsi="Arial"/>
          <w:color w:val="1A1A2E"/>
          <w:sz w:val="20"/>
          <w:szCs w:val="20"/>
        </w:rPr>
        <w:t xml:space="preserve">Respect: We honour the dignity of every person we encounter.</w:t>
      </w:r>
    </w:p>
    <w:p>
      <w:pPr>
        <w:spacing w:after="0" w:before="0"/>
      </w:pPr>
      <w:r>
        <w:t xml:space="preserve"/>
      </w:r>
    </w:p>
    <w:p>
      <w:pPr>
        <w:pStyle w:val="Heading1"/>
        <w:pBdr>
          <w:bottom w:val="single" w:color="C8960C" w:sz="6" w:space="4"/>
        </w:pBdr>
        <w:spacing w:after="160" w:before="360"/>
      </w:pPr>
      <w:r>
        <w:rPr>
          <w:rFonts w:ascii="Arial" w:cs="Arial" w:eastAsia="Arial" w:hAnsi="Arial"/>
          <w:b/>
          <w:bCs/>
          <w:color w:val="1B3A6B"/>
          <w:sz w:val="36"/>
          <w:szCs w:val="36"/>
        </w:rPr>
        <w:t xml:space="preserve">Your Employment at MGT</w:t>
      </w:r>
    </w:p>
    <w:p>
      <w:pPr>
        <w:pStyle w:val="Heading2"/>
        <w:spacing w:after="120" w:before="240"/>
      </w:pPr>
      <w:r>
        <w:rPr>
          <w:rFonts w:ascii="Arial" w:cs="Arial" w:eastAsia="Arial" w:hAnsi="Arial"/>
          <w:b/>
          <w:bCs/>
          <w:color w:val="1B3A6B"/>
          <w:sz w:val="26"/>
          <w:szCs w:val="26"/>
        </w:rPr>
        <w:t xml:space="preserve">Employment Contract</w:t>
      </w:r>
    </w:p>
    <w:p>
      <w:pPr>
        <w:spacing w:after="120" w:before="0"/>
      </w:pPr>
      <w:r>
        <w:rPr>
          <w:rFonts w:ascii="Arial" w:cs="Arial" w:eastAsia="Arial" w:hAnsi="Arial"/>
          <w:color w:val="1A1A2E"/>
          <w:sz w:val="20"/>
          <w:szCs w:val="20"/>
        </w:rPr>
        <w:t xml:space="preserve">Your employment is governed by your individual contract of employment, which forms part of the legal relationship between you and MGT. This Handbook supplements – but does not replace – your contract. In the event of a conflict between the Handbook and your contract, your contract takes precedence.</w:t>
      </w:r>
    </w:p>
    <w:p>
      <w:pPr>
        <w:pStyle w:val="Heading2"/>
        <w:spacing w:after="120" w:before="240"/>
      </w:pPr>
      <w:r>
        <w:rPr>
          <w:rFonts w:ascii="Arial" w:cs="Arial" w:eastAsia="Arial" w:hAnsi="Arial"/>
          <w:b/>
          <w:bCs/>
          <w:color w:val="1B3A6B"/>
          <w:sz w:val="26"/>
          <w:szCs w:val="26"/>
        </w:rPr>
        <w:t xml:space="preserve">Probationary Period</w:t>
      </w:r>
    </w:p>
    <w:p>
      <w:pPr>
        <w:spacing w:after="120" w:before="0"/>
      </w:pPr>
      <w:r>
        <w:rPr>
          <w:rFonts w:ascii="Arial" w:cs="Arial" w:eastAsia="Arial" w:hAnsi="Arial"/>
          <w:color w:val="1A1A2E"/>
          <w:sz w:val="20"/>
          <w:szCs w:val="20"/>
        </w:rPr>
        <w:t xml:space="preserve">All new employees serve a probationary period of 3 months (or as specified in your contract). During this period, performance will be closely monitored, and regular feedback will be provided. Confirmation of employment will be communicated in writing before the end of the probationary period.</w:t>
      </w:r>
    </w:p>
    <w:p>
      <w:pPr>
        <w:pStyle w:val="Heading2"/>
        <w:spacing w:after="120" w:before="240"/>
      </w:pPr>
      <w:r>
        <w:rPr>
          <w:rFonts w:ascii="Arial" w:cs="Arial" w:eastAsia="Arial" w:hAnsi="Arial"/>
          <w:b/>
          <w:bCs/>
          <w:color w:val="1B3A6B"/>
          <w:sz w:val="26"/>
          <w:szCs w:val="26"/>
        </w:rPr>
        <w:t xml:space="preserve">Working Hours</w:t>
      </w:r>
    </w:p>
    <w:p>
      <w:pPr>
        <w:pStyle w:val="ListParagraph"/>
        <w:numPr>
          <w:ilvl w:val="0"/>
          <w:numId w:val="2"/>
        </w:numPr>
        <w:spacing w:after="80" w:before="0"/>
      </w:pPr>
      <w:r>
        <w:rPr>
          <w:rFonts w:ascii="Arial" w:cs="Arial" w:eastAsia="Arial" w:hAnsi="Arial"/>
          <w:color w:val="1A1A2E"/>
          <w:sz w:val="20"/>
          <w:szCs w:val="20"/>
        </w:rPr>
        <w:t xml:space="preserve">Standard working hours are Monday to Friday, 08:00 to 17:00.</w:t>
      </w:r>
    </w:p>
    <w:p>
      <w:pPr>
        <w:pStyle w:val="ListParagraph"/>
        <w:numPr>
          <w:ilvl w:val="0"/>
          <w:numId w:val="2"/>
        </w:numPr>
        <w:spacing w:after="80" w:before="0"/>
      </w:pPr>
      <w:r>
        <w:rPr>
          <w:rFonts w:ascii="Arial" w:cs="Arial" w:eastAsia="Arial" w:hAnsi="Arial"/>
          <w:color w:val="1A1A2E"/>
          <w:sz w:val="20"/>
          <w:szCs w:val="20"/>
        </w:rPr>
        <w:t xml:space="preserve">A one-hour lunch break (unpaid) is included in the above schedule.</w:t>
      </w:r>
    </w:p>
    <w:p>
      <w:pPr>
        <w:pStyle w:val="ListParagraph"/>
        <w:numPr>
          <w:ilvl w:val="0"/>
          <w:numId w:val="2"/>
        </w:numPr>
        <w:spacing w:after="80" w:before="0"/>
      </w:pPr>
      <w:r>
        <w:rPr>
          <w:rFonts w:ascii="Arial" w:cs="Arial" w:eastAsia="Arial" w:hAnsi="Arial"/>
          <w:color w:val="1A1A2E"/>
          <w:sz w:val="20"/>
          <w:szCs w:val="20"/>
        </w:rPr>
        <w:t xml:space="preserve">Overtime may be required from time to time and will be compensated in accordance with applicable law and your contract.</w:t>
      </w:r>
    </w:p>
    <w:p>
      <w:pPr>
        <w:pStyle w:val="ListParagraph"/>
        <w:numPr>
          <w:ilvl w:val="0"/>
          <w:numId w:val="2"/>
        </w:numPr>
        <w:spacing w:after="80" w:before="0"/>
      </w:pPr>
      <w:r>
        <w:rPr>
          <w:rFonts w:ascii="Arial" w:cs="Arial" w:eastAsia="Arial" w:hAnsi="Arial"/>
          <w:color w:val="1A1A2E"/>
          <w:sz w:val="20"/>
          <w:szCs w:val="20"/>
        </w:rPr>
        <w:t xml:space="preserve">Flexible working arrangements may be available in eligible roles – speak to HR.</w:t>
      </w:r>
    </w:p>
    <w:p>
      <w:pPr>
        <w:pStyle w:val="Heading2"/>
        <w:spacing w:after="120" w:before="240"/>
      </w:pPr>
      <w:r>
        <w:rPr>
          <w:rFonts w:ascii="Arial" w:cs="Arial" w:eastAsia="Arial" w:hAnsi="Arial"/>
          <w:b/>
          <w:bCs/>
          <w:color w:val="1B3A6B"/>
          <w:sz w:val="26"/>
          <w:szCs w:val="26"/>
        </w:rPr>
        <w:t xml:space="preserve">Remuneration</w:t>
      </w:r>
    </w:p>
    <w:p>
      <w:pPr>
        <w:spacing w:after="120" w:before="0"/>
      </w:pPr>
      <w:r>
        <w:rPr>
          <w:rFonts w:ascii="Arial" w:cs="Arial" w:eastAsia="Arial" w:hAnsi="Arial"/>
          <w:color w:val="1A1A2E"/>
          <w:sz w:val="20"/>
          <w:szCs w:val="20"/>
        </w:rPr>
        <w:t xml:space="preserve">Salaries are paid on the last working day of each month by electronic funds transfer (EFT). Your payslip is available via the HR portal. It is your responsibility to ensure that your banking details are up to date.</w:t>
      </w:r>
    </w:p>
    <w:p>
      <w:pPr>
        <w:pStyle w:val="Heading2"/>
        <w:spacing w:after="120" w:before="240"/>
      </w:pPr>
      <w:r>
        <w:rPr>
          <w:rFonts w:ascii="Arial" w:cs="Arial" w:eastAsia="Arial" w:hAnsi="Arial"/>
          <w:b/>
          <w:bCs/>
          <w:color w:val="1B3A6B"/>
          <w:sz w:val="26"/>
          <w:szCs w:val="26"/>
        </w:rPr>
        <w:t xml:space="preserve">Benefits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Medical Aid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contributes 50% of the principal member premium on the approved scheme.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Provident Fund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and employee each contribute 7.5% of pensionable salary.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Life Cover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3x annual salary, provided by the provident fund administrator.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Confidential employee assistance programme for personal and work challenges.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Annual Leave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15 working days per year (see Policy 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Performance Bonus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Discretionary, linked to individual and company performance.</w:t>
            </w:r>
          </w:p>
        </w:tc>
      </w:tr>
    </w:tbl>
    <w:p>
      <w:pPr>
        <w:spacing w:after="0" w:before="0"/>
      </w:pPr>
      <w:r>
        <w:t xml:space="preserve"/>
      </w:r>
    </w:p>
    <w:p>
      <w:pPr>
        <w:pStyle w:val="Heading1"/>
        <w:pBdr>
          <w:bottom w:val="single" w:color="C8960C" w:sz="6" w:space="4"/>
        </w:pBdr>
        <w:spacing w:after="160" w:before="360"/>
      </w:pPr>
      <w:r>
        <w:rPr>
          <w:rFonts w:ascii="Arial" w:cs="Arial" w:eastAsia="Arial" w:hAnsi="Arial"/>
          <w:b/>
          <w:bCs/>
          <w:color w:val="1B3A6B"/>
          <w:sz w:val="36"/>
          <w:szCs w:val="36"/>
        </w:rPr>
        <w:t xml:space="preserve">Day-to-Day Life at MGT</w:t>
      </w:r>
    </w:p>
    <w:p>
      <w:pPr>
        <w:pStyle w:val="Heading2"/>
        <w:spacing w:after="120" w:before="240"/>
      </w:pPr>
      <w:r>
        <w:rPr>
          <w:rFonts w:ascii="Arial" w:cs="Arial" w:eastAsia="Arial" w:hAnsi="Arial"/>
          <w:b/>
          <w:bCs/>
          <w:color w:val="1B3A6B"/>
          <w:sz w:val="26"/>
          <w:szCs w:val="26"/>
        </w:rPr>
        <w:t xml:space="preserve">Dress Code</w:t>
      </w:r>
    </w:p>
    <w:p>
      <w:pPr>
        <w:spacing w:after="120" w:before="0"/>
      </w:pPr>
      <w:r>
        <w:rPr>
          <w:rFonts w:ascii="Arial" w:cs="Arial" w:eastAsia="Arial" w:hAnsi="Arial"/>
          <w:color w:val="1A1A2E"/>
          <w:sz w:val="20"/>
          <w:szCs w:val="20"/>
        </w:rPr>
        <w:t xml:space="preserve">MGT operates a business casual dress standard from Monday to Thursday. Fridays are casual dress days. Employees who interact with clients or attend formal events must dress professionally. Clothing that is offensive, unsafe, or contrary to the company's values is never acceptable.</w:t>
      </w:r>
    </w:p>
    <w:p>
      <w:pPr>
        <w:pStyle w:val="Heading2"/>
        <w:spacing w:after="120" w:before="240"/>
      </w:pPr>
      <w:r>
        <w:rPr>
          <w:rFonts w:ascii="Arial" w:cs="Arial" w:eastAsia="Arial" w:hAnsi="Arial"/>
          <w:b/>
          <w:bCs/>
          <w:color w:val="1B3A6B"/>
          <w:sz w:val="26"/>
          <w:szCs w:val="26"/>
        </w:rPr>
        <w:t xml:space="preserve">Attendance &amp; Punctuality</w:t>
      </w:r>
    </w:p>
    <w:p>
      <w:pPr>
        <w:spacing w:after="120" w:before="0"/>
      </w:pPr>
      <w:r>
        <w:rPr>
          <w:rFonts w:ascii="Arial" w:cs="Arial" w:eastAsia="Arial" w:hAnsi="Arial"/>
          <w:color w:val="1A1A2E"/>
          <w:sz w:val="20"/>
          <w:szCs w:val="20"/>
        </w:rPr>
        <w:t xml:space="preserve">Employees are expected to be present and ready to work at their contracted start time. Persistent lateness or unexplained absence is a serious conduct matter. If you are unable to attend work, you must notify your line manager before your scheduled start time.</w:t>
      </w:r>
    </w:p>
    <w:p>
      <w:pPr>
        <w:pStyle w:val="Heading2"/>
        <w:spacing w:after="120" w:before="240"/>
      </w:pPr>
      <w:r>
        <w:rPr>
          <w:rFonts w:ascii="Arial" w:cs="Arial" w:eastAsia="Arial" w:hAnsi="Arial"/>
          <w:b/>
          <w:bCs/>
          <w:color w:val="1B3A6B"/>
          <w:sz w:val="26"/>
          <w:szCs w:val="26"/>
        </w:rPr>
        <w:t xml:space="preserve">Use of Company Resources</w:t>
      </w:r>
    </w:p>
    <w:p>
      <w:pPr>
        <w:spacing w:after="120" w:before="0"/>
      </w:pPr>
      <w:r>
        <w:rPr>
          <w:rFonts w:ascii="Arial" w:cs="Arial" w:eastAsia="Arial" w:hAnsi="Arial"/>
          <w:color w:val="1A1A2E"/>
          <w:sz w:val="20"/>
          <w:szCs w:val="20"/>
        </w:rPr>
        <w:t xml:space="preserve">Company resources (computers, phones, software, vehicles, stationery, and facilities) are provided for business purposes. Limited personal use is acceptable provided it does not impact productivity, incur cost to MGT, or violate any policy.</w:t>
      </w:r>
    </w:p>
    <w:p>
      <w:pPr>
        <w:pStyle w:val="Heading2"/>
        <w:spacing w:after="120" w:before="240"/>
      </w:pPr>
      <w:r>
        <w:rPr>
          <w:rFonts w:ascii="Arial" w:cs="Arial" w:eastAsia="Arial" w:hAnsi="Arial"/>
          <w:b/>
          <w:bCs/>
          <w:color w:val="1B3A6B"/>
          <w:sz w:val="26"/>
          <w:szCs w:val="26"/>
        </w:rPr>
        <w:t xml:space="preserve">Meetings &amp; Communication</w:t>
      </w:r>
    </w:p>
    <w:p>
      <w:pPr>
        <w:spacing w:after="120" w:before="0"/>
      </w:pPr>
      <w:r>
        <w:rPr>
          <w:rFonts w:ascii="Arial" w:cs="Arial" w:eastAsia="Arial" w:hAnsi="Arial"/>
          <w:color w:val="1A1A2E"/>
          <w:sz w:val="20"/>
          <w:szCs w:val="20"/>
        </w:rPr>
        <w:t xml:space="preserve">MGT values clear, timely, and respectful communication. All employees are expected to attend scheduled meetings, respond to internal communications within 1 working day, and maintain a professional tone in all interactions.</w:t>
      </w:r>
    </w:p>
    <w:p>
      <w:pPr>
        <w:pStyle w:val="Heading2"/>
        <w:spacing w:after="120" w:before="240"/>
      </w:pPr>
      <w:r>
        <w:rPr>
          <w:rFonts w:ascii="Arial" w:cs="Arial" w:eastAsia="Arial" w:hAnsi="Arial"/>
          <w:b/>
          <w:bCs/>
          <w:color w:val="1B3A6B"/>
          <w:sz w:val="26"/>
          <w:szCs w:val="26"/>
        </w:rPr>
        <w:t xml:space="preserve">Confidentiality</w:t>
      </w:r>
    </w:p>
    <w:p>
      <w:pPr>
        <w:spacing w:after="120" w:before="0"/>
      </w:pPr>
      <w:r>
        <w:rPr>
          <w:rFonts w:ascii="Arial" w:cs="Arial" w:eastAsia="Arial" w:hAnsi="Arial"/>
          <w:color w:val="1A1A2E"/>
          <w:sz w:val="20"/>
          <w:szCs w:val="20"/>
        </w:rPr>
        <w:t xml:space="preserve">Employees will inevitably access sensitive business, client, and personal information in the course of their work. You are required to treat all such information as confidential, both during and after your employment, unless authorised to share it. Refer to Policy 05 and Policy 17 for detailed obligations.</w:t>
      </w:r>
    </w:p>
    <w:p>
      <w:pPr>
        <w:pStyle w:val="Heading1"/>
        <w:pBdr>
          <w:bottom w:val="single" w:color="C8960C" w:sz="6" w:space="4"/>
        </w:pBdr>
        <w:spacing w:after="160" w:before="360"/>
      </w:pPr>
      <w:r>
        <w:rPr>
          <w:rFonts w:ascii="Arial" w:cs="Arial" w:eastAsia="Arial" w:hAnsi="Arial"/>
          <w:b/>
          <w:bCs/>
          <w:color w:val="1B3A6B"/>
          <w:sz w:val="36"/>
          <w:szCs w:val="36"/>
        </w:rPr>
        <w:t xml:space="preserve">Your Growth at MGT</w:t>
      </w:r>
    </w:p>
    <w:p>
      <w:pPr>
        <w:pStyle w:val="Heading2"/>
        <w:spacing w:after="120" w:before="240"/>
      </w:pPr>
      <w:r>
        <w:rPr>
          <w:rFonts w:ascii="Arial" w:cs="Arial" w:eastAsia="Arial" w:hAnsi="Arial"/>
          <w:b/>
          <w:bCs/>
          <w:color w:val="1B3A6B"/>
          <w:sz w:val="26"/>
          <w:szCs w:val="26"/>
        </w:rPr>
        <w:t xml:space="preserve">Learning &amp; Development</w:t>
      </w:r>
    </w:p>
    <w:p>
      <w:pPr>
        <w:spacing w:after="120" w:before="0"/>
      </w:pPr>
      <w:r>
        <w:rPr>
          <w:rFonts w:ascii="Arial" w:cs="Arial" w:eastAsia="Arial" w:hAnsi="Arial"/>
          <w:color w:val="1A1A2E"/>
          <w:sz w:val="20"/>
          <w:szCs w:val="20"/>
        </w:rPr>
        <w:t xml:space="preserve">MGT is committed to developing the skills and capabilities of our people. You will have access to:</w:t>
      </w:r>
    </w:p>
    <w:p>
      <w:pPr>
        <w:pStyle w:val="ListParagraph"/>
        <w:numPr>
          <w:ilvl w:val="0"/>
          <w:numId w:val="2"/>
        </w:numPr>
        <w:spacing w:after="80" w:before="0"/>
      </w:pPr>
      <w:r>
        <w:rPr>
          <w:rFonts w:ascii="Arial" w:cs="Arial" w:eastAsia="Arial" w:hAnsi="Arial"/>
          <w:color w:val="1A1A2E"/>
          <w:sz w:val="20"/>
          <w:szCs w:val="20"/>
        </w:rPr>
        <w:t xml:space="preserve">A dedicated learning budget of R5,000 per employee per year for external development.</w:t>
      </w:r>
    </w:p>
    <w:p>
      <w:pPr>
        <w:pStyle w:val="ListParagraph"/>
        <w:numPr>
          <w:ilvl w:val="0"/>
          <w:numId w:val="2"/>
        </w:numPr>
        <w:spacing w:after="80" w:before="0"/>
      </w:pPr>
      <w:r>
        <w:rPr>
          <w:rFonts w:ascii="Arial" w:cs="Arial" w:eastAsia="Arial" w:hAnsi="Arial"/>
          <w:color w:val="1A1A2E"/>
          <w:sz w:val="20"/>
          <w:szCs w:val="20"/>
        </w:rPr>
        <w:t xml:space="preserve">Internal training programmes, workshops, and lunch-and-learn sessions.</w:t>
      </w:r>
    </w:p>
    <w:p>
      <w:pPr>
        <w:pStyle w:val="ListParagraph"/>
        <w:numPr>
          <w:ilvl w:val="0"/>
          <w:numId w:val="2"/>
        </w:numPr>
        <w:spacing w:after="80" w:before="0"/>
      </w:pPr>
      <w:r>
        <w:rPr>
          <w:rFonts w:ascii="Arial" w:cs="Arial" w:eastAsia="Arial" w:hAnsi="Arial"/>
          <w:color w:val="1A1A2E"/>
          <w:sz w:val="20"/>
          <w:szCs w:val="20"/>
        </w:rPr>
        <w:t xml:space="preserve">Tuition assistance for approved job-related qualifications.</w:t>
      </w:r>
    </w:p>
    <w:p>
      <w:pPr>
        <w:pStyle w:val="ListParagraph"/>
        <w:numPr>
          <w:ilvl w:val="0"/>
          <w:numId w:val="2"/>
        </w:numPr>
        <w:spacing w:after="80" w:before="0"/>
      </w:pPr>
      <w:r>
        <w:rPr>
          <w:rFonts w:ascii="Arial" w:cs="Arial" w:eastAsia="Arial" w:hAnsi="Arial"/>
          <w:color w:val="1A1A2E"/>
          <w:sz w:val="20"/>
          <w:szCs w:val="20"/>
        </w:rPr>
        <w:t xml:space="preserve">Leadership development programmes for high-potential employees.</w:t>
      </w:r>
    </w:p>
    <w:p>
      <w:pPr>
        <w:pStyle w:val="Heading2"/>
        <w:spacing w:after="120" w:before="240"/>
      </w:pPr>
      <w:r>
        <w:rPr>
          <w:rFonts w:ascii="Arial" w:cs="Arial" w:eastAsia="Arial" w:hAnsi="Arial"/>
          <w:b/>
          <w:bCs/>
          <w:color w:val="1B3A6B"/>
          <w:sz w:val="26"/>
          <w:szCs w:val="26"/>
        </w:rPr>
        <w:t xml:space="preserve">Career Progression</w:t>
      </w:r>
    </w:p>
    <w:p>
      <w:pPr>
        <w:spacing w:after="120" w:before="0"/>
      </w:pPr>
      <w:r>
        <w:rPr>
          <w:rFonts w:ascii="Arial" w:cs="Arial" w:eastAsia="Arial" w:hAnsi="Arial"/>
          <w:color w:val="1A1A2E"/>
          <w:sz w:val="20"/>
          <w:szCs w:val="20"/>
        </w:rPr>
        <w:t xml:space="preserve">MGT supports transparent, merit-based career advancement. All vacancies are advertised internally first. We encourage employees to discuss their career aspirations with their manager during regular one-on-one check-ins and performance reviews.</w:t>
      </w:r>
    </w:p>
    <w:p>
      <w:pPr>
        <w:pStyle w:val="Heading2"/>
        <w:spacing w:after="120" w:before="240"/>
      </w:pPr>
      <w:r>
        <w:rPr>
          <w:rFonts w:ascii="Arial" w:cs="Arial" w:eastAsia="Arial" w:hAnsi="Arial"/>
          <w:b/>
          <w:bCs/>
          <w:color w:val="1B3A6B"/>
          <w:sz w:val="26"/>
          <w:szCs w:val="26"/>
        </w:rPr>
        <w:t xml:space="preserve">Performance Reviews</w:t>
      </w:r>
    </w:p>
    <w:p>
      <w:pPr>
        <w:spacing w:after="120" w:before="0"/>
      </w:pPr>
      <w:r>
        <w:rPr>
          <w:rFonts w:ascii="Arial" w:cs="Arial" w:eastAsia="Arial" w:hAnsi="Arial"/>
          <w:color w:val="1A1A2E"/>
          <w:sz w:val="20"/>
          <w:szCs w:val="20"/>
        </w:rPr>
        <w:t xml:space="preserve">Your performance will be formally reviewed annually, with a mid-year check-in (see Policy 11). Regular informal feedback is also encouraged. Your performance review determines your eligibility for merit increases, bonuses, and promotions.</w:t>
      </w:r>
    </w:p>
    <w:p>
      <w:pPr>
        <w:pStyle w:val="Heading1"/>
        <w:pBdr>
          <w:bottom w:val="single" w:color="C8960C" w:sz="6" w:space="4"/>
        </w:pBdr>
        <w:spacing w:after="160" w:before="360"/>
      </w:pPr>
      <w:r>
        <w:rPr>
          <w:rFonts w:ascii="Arial" w:cs="Arial" w:eastAsia="Arial" w:hAnsi="Arial"/>
          <w:b/>
          <w:bCs/>
          <w:color w:val="1B3A6B"/>
          <w:sz w:val="36"/>
          <w:szCs w:val="36"/>
        </w:rPr>
        <w:t xml:space="preserve">Workplace Conduct Expectations</w:t>
      </w:r>
    </w:p>
    <w:p>
      <w:pPr>
        <w:pStyle w:val="Heading2"/>
        <w:spacing w:after="120" w:before="240"/>
      </w:pPr>
      <w:r>
        <w:rPr>
          <w:rFonts w:ascii="Arial" w:cs="Arial" w:eastAsia="Arial" w:hAnsi="Arial"/>
          <w:b/>
          <w:bCs/>
          <w:color w:val="1B3A6B"/>
          <w:sz w:val="26"/>
          <w:szCs w:val="26"/>
        </w:rPr>
        <w:t xml:space="preserve">Professional Behaviour</w:t>
      </w:r>
    </w:p>
    <w:p>
      <w:pPr>
        <w:spacing w:after="120" w:before="0"/>
      </w:pPr>
      <w:r>
        <w:rPr>
          <w:rFonts w:ascii="Arial" w:cs="Arial" w:eastAsia="Arial" w:hAnsi="Arial"/>
          <w:color w:val="1A1A2E"/>
          <w:sz w:val="20"/>
          <w:szCs w:val="20"/>
        </w:rPr>
        <w:t xml:space="preserve">All employees are expected to conduct themselves professionally at all times – whether in the office, at client sites, at company events, or when representing MGT publicly. Refer to Policy 01 (Code of Conduct) for detailed expectations.</w:t>
      </w:r>
    </w:p>
    <w:p>
      <w:pPr>
        <w:pStyle w:val="Heading2"/>
        <w:spacing w:after="120" w:before="240"/>
      </w:pPr>
      <w:r>
        <w:rPr>
          <w:rFonts w:ascii="Arial" w:cs="Arial" w:eastAsia="Arial" w:hAnsi="Arial"/>
          <w:b/>
          <w:bCs/>
          <w:color w:val="1B3A6B"/>
          <w:sz w:val="26"/>
          <w:szCs w:val="26"/>
        </w:rPr>
        <w:t xml:space="preserve">Zero Tolerance for Harassment</w:t>
      </w:r>
    </w:p>
    <w:p>
      <w:pPr>
        <w:spacing w:after="120" w:before="0"/>
      </w:pPr>
      <w:r>
        <w:rPr>
          <w:rFonts w:ascii="Arial" w:cs="Arial" w:eastAsia="Arial" w:hAnsi="Arial"/>
          <w:color w:val="1A1A2E"/>
          <w:sz w:val="20"/>
          <w:szCs w:val="20"/>
        </w:rPr>
        <w:t xml:space="preserve">MGT has a zero-tolerance stance on all forms of harassment, bullying, and discrimination. Any such conduct will be investigated and may result in dismissal. Refer to Policies 02 and 13 for full details.</w:t>
      </w:r>
    </w:p>
    <w:p>
      <w:pPr>
        <w:pStyle w:val="Heading2"/>
        <w:spacing w:after="120" w:before="240"/>
      </w:pPr>
      <w:r>
        <w:rPr>
          <w:rFonts w:ascii="Arial" w:cs="Arial" w:eastAsia="Arial" w:hAnsi="Arial"/>
          <w:b/>
          <w:bCs/>
          <w:color w:val="1B3A6B"/>
          <w:sz w:val="26"/>
          <w:szCs w:val="26"/>
        </w:rPr>
        <w:t xml:space="preserve">Health &amp; Safety at Work</w:t>
      </w:r>
    </w:p>
    <w:p>
      <w:pPr>
        <w:spacing w:after="120" w:before="0"/>
      </w:pPr>
      <w:r>
        <w:rPr>
          <w:rFonts w:ascii="Arial" w:cs="Arial" w:eastAsia="Arial" w:hAnsi="Arial"/>
          <w:color w:val="1A1A2E"/>
          <w:sz w:val="20"/>
          <w:szCs w:val="20"/>
        </w:rPr>
        <w:t xml:space="preserve">Every employee shares responsibility for maintaining a safe workplace. Report hazards immediately, comply with safety procedures, and never perform tasks you believe are unsafe. Refer to Policy 03 for full details.</w:t>
      </w:r>
    </w:p>
    <w:p>
      <w:pPr>
        <w:pStyle w:val="Heading2"/>
        <w:spacing w:after="120" w:before="240"/>
      </w:pPr>
      <w:r>
        <w:rPr>
          <w:rFonts w:ascii="Arial" w:cs="Arial" w:eastAsia="Arial" w:hAnsi="Arial"/>
          <w:b/>
          <w:bCs/>
          <w:color w:val="1B3A6B"/>
          <w:sz w:val="26"/>
          <w:szCs w:val="26"/>
        </w:rPr>
        <w:t xml:space="preserve">Disciplinary Process</w:t>
      </w:r>
    </w:p>
    <w:p>
      <w:pPr>
        <w:spacing w:after="120" w:before="0"/>
      </w:pPr>
      <w:r>
        <w:rPr>
          <w:rFonts w:ascii="Arial" w:cs="Arial" w:eastAsia="Arial" w:hAnsi="Arial"/>
          <w:color w:val="1A1A2E"/>
          <w:sz w:val="20"/>
          <w:szCs w:val="20"/>
        </w:rPr>
        <w:t xml:space="preserve">Where employee conduct or performance falls short of expected standards, MGT follows a progressive disciplinary process:</w:t>
      </w:r>
    </w:p>
    <w:p>
      <w:pPr>
        <w:pStyle w:val="ListParagraph"/>
        <w:numPr>
          <w:ilvl w:val="0"/>
          <w:numId w:val="3"/>
        </w:numPr>
        <w:spacing w:after="80" w:before="0"/>
      </w:pPr>
      <w:r>
        <w:rPr>
          <w:rFonts w:ascii="Arial" w:cs="Arial" w:eastAsia="Arial" w:hAnsi="Arial"/>
          <w:color w:val="1A1A2E"/>
          <w:sz w:val="20"/>
          <w:szCs w:val="20"/>
        </w:rPr>
        <w:t xml:space="preserve">Verbal counselling or warning.</w:t>
      </w:r>
    </w:p>
    <w:p>
      <w:pPr>
        <w:pStyle w:val="ListParagraph"/>
        <w:numPr>
          <w:ilvl w:val="0"/>
          <w:numId w:val="3"/>
        </w:numPr>
        <w:spacing w:after="80" w:before="0"/>
      </w:pPr>
      <w:r>
        <w:rPr>
          <w:rFonts w:ascii="Arial" w:cs="Arial" w:eastAsia="Arial" w:hAnsi="Arial"/>
          <w:color w:val="1A1A2E"/>
          <w:sz w:val="20"/>
          <w:szCs w:val="20"/>
        </w:rPr>
        <w:t xml:space="preserve">Written warning.</w:t>
      </w:r>
    </w:p>
    <w:p>
      <w:pPr>
        <w:pStyle w:val="ListParagraph"/>
        <w:numPr>
          <w:ilvl w:val="0"/>
          <w:numId w:val="3"/>
        </w:numPr>
        <w:spacing w:after="80" w:before="0"/>
      </w:pPr>
      <w:r>
        <w:rPr>
          <w:rFonts w:ascii="Arial" w:cs="Arial" w:eastAsia="Arial" w:hAnsi="Arial"/>
          <w:color w:val="1A1A2E"/>
          <w:sz w:val="20"/>
          <w:szCs w:val="20"/>
        </w:rPr>
        <w:t xml:space="preserve">Final written warning.</w:t>
      </w:r>
    </w:p>
    <w:p>
      <w:pPr>
        <w:pStyle w:val="ListParagraph"/>
        <w:numPr>
          <w:ilvl w:val="0"/>
          <w:numId w:val="3"/>
        </w:numPr>
        <w:spacing w:after="80" w:before="0"/>
      </w:pPr>
      <w:r>
        <w:rPr>
          <w:rFonts w:ascii="Arial" w:cs="Arial" w:eastAsia="Arial" w:hAnsi="Arial"/>
          <w:color w:val="1A1A2E"/>
          <w:sz w:val="20"/>
          <w:szCs w:val="20"/>
        </w:rPr>
        <w:t xml:space="preserve">Suspension pending investigation.</w:t>
      </w:r>
    </w:p>
    <w:p>
      <w:pPr>
        <w:pStyle w:val="ListParagraph"/>
        <w:numPr>
          <w:ilvl w:val="0"/>
          <w:numId w:val="3"/>
        </w:numPr>
        <w:spacing w:after="80" w:before="0"/>
      </w:pPr>
      <w:r>
        <w:rPr>
          <w:rFonts w:ascii="Arial" w:cs="Arial" w:eastAsia="Arial" w:hAnsi="Arial"/>
          <w:color w:val="1A1A2E"/>
          <w:sz w:val="20"/>
          <w:szCs w:val="20"/>
        </w:rPr>
        <w:t xml:space="preserve">Dismissal.</w:t>
      </w:r>
    </w:p>
    <w:p>
      <w:pPr>
        <w:spacing w:after="120" w:before="0"/>
      </w:pPr>
      <w:r>
        <w:rPr>
          <w:rFonts w:ascii="Arial" w:cs="Arial" w:eastAsia="Arial" w:hAnsi="Arial"/>
          <w:color w:val="1A1A2E"/>
          <w:sz w:val="20"/>
          <w:szCs w:val="20"/>
        </w:rPr>
        <w:t xml:space="preserve">The severity and nature of the misconduct will determine which step is appropriate. Serious misconduct (e.g., theft, assault, gross dishonesty) may result in immediate dismissal without prior warnings.</w:t>
      </w:r>
    </w:p>
    <w:p>
      <w:pPr>
        <w:pStyle w:val="Heading1"/>
        <w:pBdr>
          <w:bottom w:val="single" w:color="C8960C" w:sz="6" w:space="4"/>
        </w:pBdr>
        <w:spacing w:after="160" w:before="360"/>
      </w:pPr>
      <w:r>
        <w:rPr>
          <w:rFonts w:ascii="Arial" w:cs="Arial" w:eastAsia="Arial" w:hAnsi="Arial"/>
          <w:b/>
          <w:bCs/>
          <w:color w:val="1B3A6B"/>
          <w:sz w:val="36"/>
          <w:szCs w:val="36"/>
        </w:rPr>
        <w:t xml:space="preserve">Leaving MGT</w:t>
      </w:r>
    </w:p>
    <w:p>
      <w:pPr>
        <w:pStyle w:val="Heading2"/>
        <w:spacing w:after="120" w:before="240"/>
      </w:pPr>
      <w:r>
        <w:rPr>
          <w:rFonts w:ascii="Arial" w:cs="Arial" w:eastAsia="Arial" w:hAnsi="Arial"/>
          <w:b/>
          <w:bCs/>
          <w:color w:val="1B3A6B"/>
          <w:sz w:val="26"/>
          <w:szCs w:val="26"/>
        </w:rPr>
        <w:t xml:space="preserve">Resignation</w:t>
      </w:r>
    </w:p>
    <w:p>
      <w:pPr>
        <w:spacing w:after="120" w:before="0"/>
      </w:pPr>
      <w:r>
        <w:rPr>
          <w:rFonts w:ascii="Arial" w:cs="Arial" w:eastAsia="Arial" w:hAnsi="Arial"/>
          <w:color w:val="1A1A2E"/>
          <w:sz w:val="20"/>
          <w:szCs w:val="20"/>
        </w:rPr>
        <w:t xml:space="preserve">Employees wishing to resign must submit written notice in accordance with their contract (minimum 1 month for most roles; 3 months for senior/management roles). Accrued leave will be paid out at the time of departure. You are expected to work your notice period unless otherwise agreed.</w:t>
      </w:r>
    </w:p>
    <w:p>
      <w:pPr>
        <w:pStyle w:val="Heading2"/>
        <w:spacing w:after="120" w:before="240"/>
      </w:pPr>
      <w:r>
        <w:rPr>
          <w:rFonts w:ascii="Arial" w:cs="Arial" w:eastAsia="Arial" w:hAnsi="Arial"/>
          <w:b/>
          <w:bCs/>
          <w:color w:val="1B3A6B"/>
          <w:sz w:val="26"/>
          <w:szCs w:val="26"/>
        </w:rPr>
        <w:t xml:space="preserve">Exit Interview</w:t>
      </w:r>
    </w:p>
    <w:p>
      <w:pPr>
        <w:spacing w:after="120" w:before="0"/>
      </w:pPr>
      <w:r>
        <w:rPr>
          <w:rFonts w:ascii="Arial" w:cs="Arial" w:eastAsia="Arial" w:hAnsi="Arial"/>
          <w:color w:val="1A1A2E"/>
          <w:sz w:val="20"/>
          <w:szCs w:val="20"/>
        </w:rPr>
        <w:t xml:space="preserve">HR will conduct a confidential exit interview before your last day. This is an opportunity to provide honest feedback that helps MGT improve the employee experience.</w:t>
      </w:r>
    </w:p>
    <w:p>
      <w:pPr>
        <w:pStyle w:val="Heading2"/>
        <w:spacing w:after="120" w:before="240"/>
      </w:pPr>
      <w:r>
        <w:rPr>
          <w:rFonts w:ascii="Arial" w:cs="Arial" w:eastAsia="Arial" w:hAnsi="Arial"/>
          <w:b/>
          <w:bCs/>
          <w:color w:val="1B3A6B"/>
          <w:sz w:val="26"/>
          <w:szCs w:val="26"/>
        </w:rPr>
        <w:t xml:space="preserve">Handover</w:t>
      </w:r>
    </w:p>
    <w:p>
      <w:pPr>
        <w:spacing w:after="120" w:before="0"/>
      </w:pPr>
      <w:r>
        <w:rPr>
          <w:rFonts w:ascii="Arial" w:cs="Arial" w:eastAsia="Arial" w:hAnsi="Arial"/>
          <w:color w:val="1A1A2E"/>
          <w:sz w:val="20"/>
          <w:szCs w:val="20"/>
        </w:rPr>
        <w:t xml:space="preserve">Employees are required to complete a thorough and structured handover to their manager or successor before their departure. This includes handing over all company property, documentation, and access credentials.</w:t>
      </w:r>
    </w:p>
    <w:p>
      <w:pPr>
        <w:pStyle w:val="Heading2"/>
        <w:spacing w:after="120" w:before="240"/>
      </w:pPr>
      <w:r>
        <w:rPr>
          <w:rFonts w:ascii="Arial" w:cs="Arial" w:eastAsia="Arial" w:hAnsi="Arial"/>
          <w:b/>
          <w:bCs/>
          <w:color w:val="1B3A6B"/>
          <w:sz w:val="26"/>
          <w:szCs w:val="26"/>
        </w:rPr>
        <w:t xml:space="preserve">Post-Employment Obligations</w:t>
      </w:r>
    </w:p>
    <w:p>
      <w:pPr>
        <w:spacing w:after="120" w:before="0"/>
      </w:pPr>
      <w:r>
        <w:rPr>
          <w:rFonts w:ascii="Arial" w:cs="Arial" w:eastAsia="Arial" w:hAnsi="Arial"/>
          <w:color w:val="1A1A2E"/>
          <w:sz w:val="20"/>
          <w:szCs w:val="20"/>
        </w:rPr>
        <w:t xml:space="preserve">After leaving MGT, you remain bound by confidentiality and IP obligations as described in Policies 05 and 17. Any restraint of trade provisions in your contract also remain in effect as specified therein.</w:t>
      </w:r>
    </w:p>
    <w:p>
      <w:pPr>
        <w:pStyle w:val="Heading1"/>
        <w:pBdr>
          <w:bottom w:val="single" w:color="C8960C" w:sz="6" w:space="4"/>
        </w:pBdr>
        <w:spacing w:after="160" w:before="360"/>
      </w:pPr>
      <w:r>
        <w:rPr>
          <w:rFonts w:ascii="Arial" w:cs="Arial" w:eastAsia="Arial" w:hAnsi="Arial"/>
          <w:b/>
          <w:bCs/>
          <w:color w:val="1B3A6B"/>
          <w:sz w:val="36"/>
          <w:szCs w:val="36"/>
        </w:rPr>
        <w:t xml:space="preserve">Key HR Contacts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Contact / Resource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HR 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Employee relations, senior queries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admin@mgucatech.com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HR Generalist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Day-to-day HR queries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admin@mgucatech.com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Finance / Payroll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Payslips, deductions, expenses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admin@mgucatech.com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IT Helpdesk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Technical support, access issues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admin@mgucatech.com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Whistleblower Hotline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Anonymous ethical concerns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admin@mgucatech.com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EAP Provider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Confidential personal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Available 24/7 – contact HR for details</w:t>
            </w:r>
          </w:p>
        </w:tc>
      </w:tr>
    </w:tbl>
    <w:p>
      <w:pPr>
        <w:spacing w:after="0" w:before="0"/>
      </w:pPr>
      <w:r>
        <w:t xml:space="preserve"/>
      </w:r>
    </w:p>
    <w:p>
      <w:pPr>
        <w:pStyle w:val="Heading1"/>
        <w:pBdr>
          <w:bottom w:val="single" w:color="C8960C" w:sz="6" w:space="4"/>
        </w:pBdr>
        <w:spacing w:after="160" w:before="360"/>
      </w:pPr>
      <w:r>
        <w:rPr>
          <w:rFonts w:ascii="Arial" w:cs="Arial" w:eastAsia="Arial" w:hAnsi="Arial"/>
          <w:b/>
          <w:bCs/>
          <w:color w:val="1B3A6B"/>
          <w:sz w:val="36"/>
          <w:szCs w:val="36"/>
        </w:rPr>
        <w:t xml:space="preserve">Employee Acknowledgement</w:t>
      </w:r>
    </w:p>
    <w:p>
      <w:pPr>
        <w:spacing w:after="120" w:before="0"/>
      </w:pPr>
      <w:r>
        <w:rPr>
          <w:rFonts w:ascii="Arial" w:cs="Arial" w:eastAsia="Arial" w:hAnsi="Arial"/>
          <w:color w:val="1A1A2E"/>
          <w:sz w:val="20"/>
          <w:szCs w:val="20"/>
        </w:rPr>
        <w:t xml:space="preserve">By signing below, you confirm that:</w:t>
      </w:r>
    </w:p>
    <w:p>
      <w:pPr>
        <w:pStyle w:val="ListParagraph"/>
        <w:numPr>
          <w:ilvl w:val="0"/>
          <w:numId w:val="2"/>
        </w:numPr>
        <w:spacing w:after="80" w:before="0"/>
      </w:pPr>
      <w:r>
        <w:rPr>
          <w:rFonts w:ascii="Arial" w:cs="Arial" w:eastAsia="Arial" w:hAnsi="Arial"/>
          <w:color w:val="1A1A2E"/>
          <w:sz w:val="20"/>
          <w:szCs w:val="20"/>
        </w:rPr>
        <w:t xml:space="preserve">You have received and read the MGT Company Policy Manual and Employee Handbook.</w:t>
      </w:r>
    </w:p>
    <w:p>
      <w:pPr>
        <w:pStyle w:val="ListParagraph"/>
        <w:numPr>
          <w:ilvl w:val="0"/>
          <w:numId w:val="2"/>
        </w:numPr>
        <w:spacing w:after="80" w:before="0"/>
      </w:pPr>
      <w:r>
        <w:rPr>
          <w:rFonts w:ascii="Arial" w:cs="Arial" w:eastAsia="Arial" w:hAnsi="Arial"/>
          <w:color w:val="1A1A2E"/>
          <w:sz w:val="20"/>
          <w:szCs w:val="20"/>
        </w:rPr>
        <w:t xml:space="preserve">You understand its contents and agree to comply with all policies therein.</w:t>
      </w:r>
    </w:p>
    <w:p>
      <w:pPr>
        <w:pStyle w:val="ListParagraph"/>
        <w:numPr>
          <w:ilvl w:val="0"/>
          <w:numId w:val="2"/>
        </w:numPr>
        <w:spacing w:after="80" w:before="0"/>
      </w:pPr>
      <w:r>
        <w:rPr>
          <w:rFonts w:ascii="Arial" w:cs="Arial" w:eastAsia="Arial" w:hAnsi="Arial"/>
          <w:color w:val="1A1A2E"/>
          <w:sz w:val="20"/>
          <w:szCs w:val="20"/>
        </w:rPr>
        <w:t xml:space="preserve">You acknowledge that these policies may be updated from time to time, and that you will review and comply with updated versions when notified.</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Employee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Department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Signature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w:t>
            </w:r>
          </w:p>
        </w:tc>
      </w:tr>
    </w:tbl>
    <w:p>
      <w:pPr>
        <w:spacing w:after="0" w:before="0"/>
      </w:pPr>
      <w:r>
        <w:t xml:space="preserve"/>
      </w:r>
    </w:p>
    <w:p>
      <w:pPr>
        <w:spacing w:after="120" w:before="80"/>
        <w:ind w:left="720"/>
      </w:pPr>
      <w:r>
        <w:rPr>
          <w:rFonts w:ascii="Arial" w:cs="Arial" w:eastAsia="Arial" w:hAnsi="Arial"/>
          <w:i/>
          <w:iCs/>
          <w:color w:val="555555"/>
          <w:sz w:val="18"/>
          <w:szCs w:val="18"/>
        </w:rPr>
        <w:t xml:space="preserve">Note: Please return the signed acknowledgement page to HR within 5 working days of your start date. Retain a copy for your personal records.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0C" w:sz="4" w:space="4"/>
      </w:pBdr>
    </w:pPr>
    <w:r>
      <w:rPr>
        <w:rFonts w:ascii="Arial" w:cs="Arial" w:eastAsia="Arial" w:hAnsi="Arial"/>
        <w:color w:val="555555"/>
        <w:sz w:val="18"/>
        <w:szCs w:val="18"/>
      </w:rPr>
      <w:t xml:space="preserve">Confidential  |  Version 1.0  |  January 2025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4" w:space="4"/>
      </w:pBdr>
    </w:pPr>
    <w:r>
      <w:rPr>
        <w:rFonts w:ascii="Arial" w:cs="Arial" w:eastAsia="Arial" w:hAnsi="Arial"/>
        <w:i/>
        <w:iCs/>
        <w:color w:val="555555"/>
        <w:sz w:val="18"/>
        <w:szCs w:val="18"/>
      </w:rPr>
      <w:t xml:space="preserve">MGT – Company Policy Manual &amp; Employee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960C" w:sz="6" w:space="4"/>
      </w:pBd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2026-05-16T12:06:08.513Z</dcterms:created>
  <dcterms:modified xsi:type="dcterms:W3CDTF">2026-05-16T12:06:08.531Z</dcterms:modified>
</cp:coreProperties>
</file>

<file path=docProps/custom.xml><?xml version="1.0" encoding="utf-8"?>
<Properties xmlns="http://schemas.openxmlformats.org/officeDocument/2006/custom-properties" xmlns:vt="http://schemas.openxmlformats.org/officeDocument/2006/docPropsVTypes"/>
</file>