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大数据时代下基于文本挖掘和</w:t>
      </w:r>
      <w: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  <w:t>VECM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模型的金融科技对普惠金融发展推动效用的研究——以京津冀地区为例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指标选取及数据来源</w:t>
      </w:r>
    </w:p>
    <w:p>
      <w:pPr>
        <w:numPr>
          <w:ilvl w:val="0"/>
          <w:numId w:val="2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城乡收入差距指数（IGI）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/>
        </w:rPr>
        <w:t>IGI=</w:t>
      </w:r>
      <w:r>
        <w:rPr>
          <w:rFonts w:ascii="宋体" w:hAnsi="宋体" w:eastAsia="宋体" w:cs="宋体"/>
          <w:sz w:val="24"/>
          <w:szCs w:val="24"/>
        </w:rPr>
        <w:t>农村居民的人均可支配收入</w:t>
      </w:r>
      <w:r>
        <w:rPr>
          <w:rFonts w:hint="default" w:ascii="宋体" w:hAnsi="宋体" w:eastAsia="宋体" w:cs="宋体"/>
          <w:sz w:val="24"/>
          <w:szCs w:val="24"/>
          <w:lang w:val="en-US"/>
        </w:rPr>
        <w:t>/</w:t>
      </w:r>
      <w:r>
        <w:rPr>
          <w:rFonts w:ascii="宋体" w:hAnsi="宋体" w:eastAsia="宋体" w:cs="宋体"/>
          <w:sz w:val="24"/>
          <w:szCs w:val="24"/>
        </w:rPr>
        <w:t>城镇人均可支配收入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数据来源于国家统计局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金融科技发展指数（FTI）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指数构建参考知网论文：大数据时代下金融科技对商业银行效率的影响——基于文本挖掘与DEA-Malmquist指数的分析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数据来源于百度指数官网，通过爬虫使用百度官方接口获取，没有对服务器照成困扰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t>普惠金融发展指数（IFI)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指数构建参考：北京大学数字金融研究中心——</w:t>
      </w:r>
      <w:r>
        <w:rPr>
          <w:rFonts w:ascii="宋体" w:hAnsi="宋体" w:eastAsia="宋体" w:cs="宋体"/>
          <w:sz w:val="24"/>
          <w:szCs w:val="24"/>
        </w:rPr>
        <w:t>北京大学数字普惠金融指数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数据来源：北京大学数字金融研究中心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t>转移支付指标（TPI）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/>
        </w:rPr>
        <w:t>TPI=</w:t>
      </w:r>
      <w:r>
        <w:rPr>
          <w:rFonts w:ascii="宋体" w:hAnsi="宋体" w:eastAsia="宋体" w:cs="宋体"/>
          <w:sz w:val="24"/>
          <w:szCs w:val="24"/>
        </w:rPr>
        <w:t>财政预算支出</w:t>
      </w:r>
      <w:r>
        <w:rPr>
          <w:rFonts w:hint="default" w:ascii="宋体" w:hAnsi="宋体" w:eastAsia="宋体" w:cs="宋体"/>
          <w:sz w:val="24"/>
          <w:szCs w:val="24"/>
          <w:lang w:val="en-US"/>
        </w:rPr>
        <w:t>/</w:t>
      </w:r>
      <w:r>
        <w:rPr>
          <w:rFonts w:ascii="宋体" w:hAnsi="宋体" w:eastAsia="宋体" w:cs="宋体"/>
          <w:sz w:val="24"/>
          <w:szCs w:val="24"/>
        </w:rPr>
        <w:t>GDP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数据来源于国家统计局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其中由于仅获得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2011-2020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共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年数据，我们对每个数据指标进行回归预测，并以半年为周期进行相邻年份取均值来扩充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年期间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份数据数据的同时润滑数据。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模型构建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这部分参照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pdf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就行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实证分析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这部分可参考理解以下：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"https://blog.csdn.net/weixin_39640646/article/details/111647457"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https://blog.csdn.net/weixin_39640646/article/details/111647457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t>ADF单位根检验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default" w:ascii="宋体" w:hAnsi="宋体" w:eastAsia="宋体" w:cs="宋体"/>
          <w:sz w:val="24"/>
          <w:szCs w:val="24"/>
          <w:lang w:val="en-US"/>
        </w:rPr>
        <w:t>FTI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default" w:ascii="宋体" w:hAnsi="宋体" w:eastAsia="宋体" w:cs="宋体"/>
          <w:sz w:val="24"/>
          <w:szCs w:val="24"/>
          <w:lang w:val="en-US"/>
        </w:rPr>
        <w:object>
          <v:shape id="_x0000_i1025" o:spt="75" type="#_x0000_t75" style="height:282.5pt;width:198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Views.Workfile.2" ShapeID="_x0000_i1025" DrawAspect="Content" ObjectID="_1468075725" r:id="rId4">
            <o:LockedField>false</o:LockedField>
          </o:OLEObject>
        </w:object>
      </w:r>
      <w:r>
        <w:rPr>
          <w:rFonts w:hint="default" w:ascii="宋体" w:hAnsi="宋体" w:eastAsia="宋体" w:cs="宋体"/>
          <w:sz w:val="24"/>
          <w:szCs w:val="24"/>
          <w:lang w:val="en-US"/>
        </w:rPr>
        <w:object>
          <v:shape id="_x0000_i1026" o:spt="75" type="#_x0000_t75" style="height:269.6pt;width:189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Views.Workfile.2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/>
        </w:rPr>
        <w:t>IFI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default" w:ascii="宋体" w:hAnsi="宋体" w:eastAsia="宋体" w:cs="宋体"/>
          <w:sz w:val="24"/>
          <w:szCs w:val="24"/>
          <w:lang w:val="en-US"/>
        </w:rPr>
        <w:object>
          <v:shape id="_x0000_i1027" o:spt="75" type="#_x0000_t75" style="height:256.25pt;width:202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Views.Workfile.2" ShapeID="_x0000_i1027" DrawAspect="Content" ObjectID="_1468075727" r:id="rId8">
            <o:LockedField>false</o:LockedField>
          </o:OLEObject>
        </w:object>
      </w:r>
      <w:r>
        <w:rPr>
          <w:rFonts w:hint="default" w:ascii="宋体" w:hAnsi="宋体" w:eastAsia="宋体" w:cs="宋体"/>
          <w:sz w:val="24"/>
          <w:szCs w:val="24"/>
          <w:lang w:val="en-US"/>
        </w:rPr>
        <w:object>
          <v:shape id="_x0000_i1028" o:spt="75" type="#_x0000_t75" style="height:255.15pt;width:204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Views.Workfile.2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/>
        </w:rPr>
        <w:t>IGI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29" o:spt="75" type="#_x0000_t75" style="height:263.55pt;width:181.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Views.Workfile.2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30" o:spt="75" type="#_x0000_t75" style="height:256.4pt;width:177.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Views.Workfile.2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TPI：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object>
          <v:shape id="_x0000_i1031" o:spt="75" type="#_x0000_t75" style="height:233.8pt;width:193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Views.Workfile.2" ShapeID="_x0000_i1031" DrawAspect="Content" ObjectID="_1468075731" r:id="rId16">
            <o:LockedField>false</o:LockedField>
          </o:OLEObject>
        </w:objec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object>
          <v:shape id="_x0000_i1032" o:spt="75" type="#_x0000_t75" style="height:223.7pt;width:176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Views.Workfile.2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协整检验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/>
        </w:rPr>
      </w:pPr>
      <w:bookmarkStart w:id="0" w:name="_GoBack"/>
      <w:r>
        <w:rPr>
          <w:rFonts w:hint="default" w:ascii="宋体" w:hAnsi="宋体" w:eastAsia="宋体" w:cs="宋体"/>
          <w:sz w:val="24"/>
          <w:szCs w:val="24"/>
          <w:lang w:val="en-US"/>
        </w:rPr>
        <w:object>
          <v:shape id="_x0000_i1033" o:spt="75" alt="" type="#_x0000_t75" style="height:749.45pt;width:253.8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Views.Workfile.2" ShapeID="_x0000_i1033" DrawAspect="Content" ObjectID="_1468075733" r:id="rId20">
            <o:LockedField>false</o:LockedField>
          </o:OLEObject>
        </w:object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协整方程（</w:t>
      </w:r>
      <w:r>
        <w:rPr>
          <w:rFonts w:hint="eastAsia" w:cs="宋体"/>
          <w:sz w:val="24"/>
          <w:szCs w:val="24"/>
          <w:lang w:val="en-US" w:eastAsia="zh-CN"/>
        </w:rPr>
        <w:t>写法参考https://mp.weixin.qq.com/s/tEmPZTWGdSev2ta28KGCLA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34" o:spt="75" type="#_x0000_t75" style="height:625.4pt;width:290.6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Views.Workfile.2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模型检验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单位根检验：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44215" cy="338328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脉冲响应（参考https://zhuanlan.zhihu.com/p/93646615）：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7145" cy="3721100"/>
            <wp:effectExtent l="0" t="0" r="825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方差分解：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792220"/>
            <wp:effectExtent l="0" t="0" r="1270" b="2540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E1827"/>
    <w:multiLevelType w:val="singleLevel"/>
    <w:tmpl w:val="151E182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1612AC6"/>
    <w:multiLevelType w:val="singleLevel"/>
    <w:tmpl w:val="51612A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5D47DED"/>
    <w:multiLevelType w:val="singleLevel"/>
    <w:tmpl w:val="65D47D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159F3"/>
    <w:rsid w:val="2502467B"/>
    <w:rsid w:val="26006465"/>
    <w:rsid w:val="378D21EA"/>
    <w:rsid w:val="3D5B20AF"/>
    <w:rsid w:val="3D9D250B"/>
    <w:rsid w:val="500670BD"/>
    <w:rsid w:val="54A674F7"/>
    <w:rsid w:val="737F343B"/>
    <w:rsid w:val="7676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2022-01-13T11:47:00Z</dcterms:created>
  <dc:creator>kit</dc:creator>
  <cp:lastModifiedBy>K</cp:lastModifiedBy>
  <dcterms:modified xsi:type="dcterms:W3CDTF">2022-01-14T13:42:26Z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68C298DB03094938B3B5F4BBD58976A3</vt:lpwstr>
  </property>
</Properties>
</file>