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Malgun Gothic"/>
          <w:b/>
          <w:i w:val="0"/>
          <w:color w:val="2E74B5"/>
          <w:sz w:val="18"/>
        </w:rPr>
        <w:t>RESEARCH REVIEW</w:t>
      </w:r>
    </w:p>
    <w:p>
      <w:pPr>
        <w:spacing w:before="0" w:after="80" w:line="264" w:lineRule="auto"/>
      </w:pPr>
      <w:r>
        <w:rPr>
          <w:rFonts w:ascii="Calibri" w:hAnsi="Calibri" w:eastAsia="Malgun Gothic"/>
          <w:b/>
          <w:i w:val="0"/>
          <w:color w:val="17365D"/>
          <w:sz w:val="46"/>
        </w:rPr>
        <w:t>피부 마이크로바이옴 Sampling Method 비교 연구 검토</w:t>
      </w:r>
    </w:p>
    <w:p>
      <w:pPr>
        <w:spacing w:before="0" w:after="240" w:line="264" w:lineRule="auto"/>
      </w:pPr>
      <w:r>
        <w:rPr>
          <w:rFonts w:ascii="Calibri" w:hAnsi="Calibri" w:eastAsia="Malgun Gothic"/>
          <w:b w:val="0"/>
          <w:i w:val="0"/>
          <w:color w:val="5F6368"/>
          <w:sz w:val="25"/>
        </w:rPr>
        <w:t>선행연구의 평가항목과 현재 DT swab 연구의 분석 범위 비교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256"/>
      </w:tblGrid>
      <w:tr>
        <w:tc>
          <w:tcPr>
            <w:tcW w:type="dxa" w:w="14256"/>
            <w:tcMar>
              <w:top w:w="80" w:type="dxa"/>
              <w:start w:w="100" w:type="dxa"/>
              <w:bottom w:w="80" w:type="dxa"/>
              <w:end w:w="10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i w:val="0"/>
                <w:color w:val="17365D"/>
                <w:sz w:val="21"/>
              </w:rPr>
              <w:t xml:space="preserve">핵심 판단  </w:t>
            </w:r>
            <w:r>
              <w:rPr>
                <w:rFonts w:ascii="Calibri" w:hAnsi="Calibri" w:eastAsia="Malgun Gothic"/>
                <w:b w:val="0"/>
                <w:i w:val="0"/>
                <w:color w:val="202124"/>
                <w:sz w:val="21"/>
              </w:rPr>
              <w:t>현재 논문은 alpha/beta diversity, PERMANOVA, 공유 ASV/Genus, decontamination을 이미 충족한다. 추가 가치가 가장 큰 분석은 (1) 기존 UniFrac distance를 이용한 within-participant/site 정량 비교와 (2) sampling-system-specific ASV의 abundance·prevalence 특성 확인이다.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algun Gothic"/>
          <w:b/>
          <w:i w:val="0"/>
          <w:color w:val="2E74B5"/>
          <w:sz w:val="32"/>
        </w:rPr>
        <w:t>1. 선행연구와 현재 연구의 비교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200"/>
        <w:gridCol w:w="2900"/>
        <w:gridCol w:w="2600"/>
        <w:gridCol w:w="2800"/>
        <w:gridCol w:w="2406"/>
      </w:tblGrid>
      <w:tr>
        <w:trPr>
          <w:tblHeader w:val="true"/>
        </w:trPr>
        <w:tc>
          <w:tcPr>
            <w:tcW w:type="dxa" w:w="135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7"/>
              </w:rPr>
              <w:t>연구</w:t>
            </w:r>
          </w:p>
        </w:tc>
        <w:tc>
          <w:tcPr>
            <w:tcW w:type="dxa" w:w="22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7"/>
              </w:rPr>
              <w:t>비교 설계</w:t>
            </w:r>
          </w:p>
        </w:tc>
        <w:tc>
          <w:tcPr>
            <w:tcW w:type="dxa" w:w="29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7"/>
              </w:rPr>
              <w:t>주요 평가항목</w:t>
            </w:r>
          </w:p>
        </w:tc>
        <w:tc>
          <w:tcPr>
            <w:tcW w:type="dxa" w:w="26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7"/>
              </w:rPr>
              <w:t>핵심 결과</w:t>
            </w:r>
          </w:p>
        </w:tc>
        <w:tc>
          <w:tcPr>
            <w:tcW w:type="dxa" w:w="28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7"/>
              </w:rPr>
              <w:t>현재 논문</w:t>
            </w:r>
          </w:p>
        </w:tc>
        <w:tc>
          <w:tcPr>
            <w:tcW w:type="dxa" w:w="240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7"/>
              </w:rPr>
              <w:t>판단</w:t>
            </w:r>
          </w:p>
        </w:tc>
      </w:tr>
      <w:tr>
        <w:tc>
          <w:tcPr>
            <w:tcW w:type="dxa" w:w="135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Grice et al.</w:t>
              <w:br/>
              <w:t>2008</w:t>
            </w:r>
          </w:p>
        </w:tc>
        <w:tc>
          <w:tcPr>
            <w:tcW w:type="dxa" w:w="22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건강인 5명; antecubital fossa; swab, scrape, punch biopsy</w:t>
            </w:r>
          </w:p>
        </w:tc>
        <w:tc>
          <w:tcPr>
            <w:tcW w:type="dxa" w:w="29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OTU 수; 공유 sequence; abundance-based Jaccard; theta similarity; 개인 간/내 변이</w:t>
            </w:r>
          </w:p>
        </w:tc>
        <w:tc>
          <w:tcPr>
            <w:tcW w:type="dxa" w:w="26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공유 OTU가 reads의 97.2% 차지; 세 방법의 community membership·structure 유사</w:t>
            </w:r>
          </w:p>
        </w:tc>
        <w:tc>
          <w:tcPr>
            <w:tcW w:type="dxa" w:w="28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ASV/Genus UpSet; 공유 read 비율; weighted/unweighted UniFrac; participant/site PERMANOVA</w:t>
            </w:r>
          </w:p>
        </w:tc>
        <w:tc>
          <w:tcPr>
            <w:tcW w:type="dxa" w:w="2406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기존 heatmap distance를 within-pair 대 between-participant로 정량화하면 직접 대응</w:t>
            </w:r>
          </w:p>
        </w:tc>
      </w:tr>
      <w:tr>
        <w:tc>
          <w:tcPr>
            <w:tcW w:type="dxa" w:w="135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Ogai et al.</w:t>
              <w:br/>
              <w:t>2018</w:t>
            </w:r>
          </w:p>
        </w:tc>
        <w:tc>
          <w:tcPr>
            <w:tcW w:type="dxa" w:w="22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건강인 7명; 등 피부; swab 대 tape stripping</w:t>
            </w:r>
          </w:p>
        </w:tc>
        <w:tc>
          <w:tcPr>
            <w:tcW w:type="dxa" w:w="29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총 DNA; 16S qPCR; observed OTU; PD; Chao1; Shannon; genus 상관과 95% CI; thetaYC; method-specific OTU; 배양 CFU</w:t>
            </w:r>
          </w:p>
        </w:tc>
        <w:tc>
          <w:tcPr>
            <w:tcW w:type="dxa" w:w="26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조성 상관 r=0.86; method-specific taxa는 매우 낮은 abundance</w:t>
            </w:r>
          </w:p>
        </w:tc>
        <w:tc>
          <w:tcPr>
            <w:tcW w:type="dxa" w:w="28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Shannon; observed ASVs; 조성; 공유 ASV/Genus 있음. 세균 특이 qPCR·배양 자료는 없음</w:t>
            </w:r>
          </w:p>
        </w:tc>
        <w:tc>
          <w:tcPr>
            <w:tcW w:type="dxa" w:w="2406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System-specific ASV의 abundance와 prevalence 분석이 가장 직접적으로 대응</w:t>
            </w:r>
          </w:p>
        </w:tc>
      </w:tr>
      <w:tr>
        <w:tc>
          <w:tcPr>
            <w:tcW w:type="dxa" w:w="135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Bjerre et al.</w:t>
              <w:br/>
              <w:t>2019</w:t>
            </w:r>
          </w:p>
        </w:tc>
        <w:tc>
          <w:tcPr>
            <w:tcW w:type="dxa" w:w="22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건강인 9명; eSwab 대 scrape; 12개 DNA extraction kit</w:t>
            </w:r>
          </w:p>
        </w:tc>
        <w:tc>
          <w:tcPr>
            <w:tcW w:type="dxa" w:w="29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DNA 농도; library 성공률; Shannon; Chao1; 공유 OTU/read; paired genus abundance; extraction variation</w:t>
            </w:r>
          </w:p>
        </w:tc>
        <w:tc>
          <w:tcPr>
            <w:tcW w:type="dxa" w:w="26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89.8% OTU와 99.3% reads가 두 방법에서 공유</w:t>
            </w:r>
          </w:p>
        </w:tc>
        <w:tc>
          <w:tcPr>
            <w:tcW w:type="dxa" w:w="28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공유 ASV/Genus와 공유 read 비율 있음; 초기 library failure와 최종 재구축 자료 있음</w:t>
            </w:r>
          </w:p>
        </w:tc>
        <w:tc>
          <w:tcPr>
            <w:tcW w:type="dxa" w:w="2406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Participant×site 단위 pooled ASV detection을 추가할 수 있으나 저빈도 ASV 영향에 주의</w:t>
            </w:r>
          </w:p>
        </w:tc>
      </w:tr>
      <w:tr>
        <w:tc>
          <w:tcPr>
            <w:tcW w:type="dxa" w:w="135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Manus et al.</w:t>
              <w:br/>
              <w:t>2022</w:t>
            </w:r>
          </w:p>
        </w:tc>
        <w:tc>
          <w:tcPr>
            <w:tcW w:type="dxa" w:w="22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영아 9명; 세 부위; wet/dry swab × ethanol/freezer</w:t>
            </w:r>
          </w:p>
        </w:tc>
        <w:tc>
          <w:tcPr>
            <w:tcW w:type="dxa" w:w="29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Alpha diversity; community composition; PERMANOVA; linear mixed model; classifier</w:t>
            </w:r>
          </w:p>
        </w:tc>
        <w:tc>
          <w:tcPr>
            <w:tcW w:type="dxa" w:w="26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처리조건 약 10%, anatomical site 약 20% 설명</w:t>
            </w:r>
          </w:p>
        </w:tc>
        <w:tc>
          <w:tcPr>
            <w:tcW w:type="dxa" w:w="28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Alpha diversity; UniFrac PERMANOVA; participant/site/system R² 있음</w:t>
            </w:r>
          </w:p>
        </w:tc>
        <w:tc>
          <w:tcPr>
            <w:tcW w:type="dxa" w:w="2406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핵심 분석 범위는 이미 충족</w:t>
            </w:r>
          </w:p>
        </w:tc>
      </w:tr>
      <w:tr>
        <w:tc>
          <w:tcPr>
            <w:tcW w:type="dxa" w:w="135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Healthy children</w:t>
              <w:br/>
              <w:t>pilot 2024</w:t>
            </w:r>
          </w:p>
        </w:tc>
        <w:tc>
          <w:tcPr>
            <w:tcW w:type="dxa" w:w="22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아동 6명; flocked swab 대 scraping; 세 부위; 두 시점</w:t>
            </w:r>
          </w:p>
        </w:tc>
        <w:tc>
          <w:tcPr>
            <w:tcW w:type="dxa" w:w="29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16S qPCR; full-length 16S; alpha/beta diversity; Bray-Curtis; differential abundance; 시간 안정성</w:t>
            </w:r>
          </w:p>
        </w:tc>
        <w:tc>
          <w:tcPr>
            <w:tcW w:type="dxa" w:w="26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Swab bacterial load가 높았지만 조성은 대체로 유사</w:t>
            </w:r>
          </w:p>
        </w:tc>
        <w:tc>
          <w:tcPr>
            <w:tcW w:type="dxa" w:w="28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Alpha/beta 및 taxa 비교 있음; 16S qPCR과 반복 시점 자료 없음</w:t>
            </w:r>
          </w:p>
        </w:tc>
        <w:tc>
          <w:tcPr>
            <w:tcW w:type="dxa" w:w="2406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원자료가 없는 qPCR·longitudinal 분석은 추가 불가</w:t>
            </w:r>
          </w:p>
        </w:tc>
      </w:tr>
      <w:tr>
        <w:tc>
          <w:tcPr>
            <w:tcW w:type="dxa" w:w="135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Balacco et al.</w:t>
              <w:br/>
              <w:t>2025</w:t>
            </w:r>
          </w:p>
        </w:tc>
        <w:tc>
          <w:tcPr>
            <w:tcW w:type="dxa" w:w="22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16명; antecubital fossa; cotton/eSwab; moistening, duration, storage 비교</w:t>
            </w:r>
          </w:p>
        </w:tc>
        <w:tc>
          <w:tcPr>
            <w:tcW w:type="dxa" w:w="29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총 DNA yield; alpha/beta diversity; community profile; participant effect</w:t>
            </w:r>
          </w:p>
        </w:tc>
        <w:tc>
          <w:tcPr>
            <w:tcW w:type="dxa" w:w="26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조건보다 participant 차이가 큼</w:t>
            </w:r>
          </w:p>
        </w:tc>
        <w:tc>
          <w:tcPr>
            <w:tcW w:type="dxa" w:w="2800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Participant R² 약 43–45%; sampling system R² 약 2.5%</w:t>
            </w:r>
          </w:p>
        </w:tc>
        <w:tc>
          <w:tcPr>
            <w:tcW w:type="dxa" w:w="2406"/>
            <w:vAlign w:val="top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 w:val="0"/>
                <w:i w:val="0"/>
                <w:color w:val="202124"/>
                <w:sz w:val="15"/>
              </w:rPr>
              <w:t>현재 연구와 가장 가까운 Discussion 비교문헌</w:t>
            </w:r>
          </w:p>
        </w:tc>
      </w:tr>
      <w:tr>
        <w:tc>
          <w:tcPr>
            <w:tcW w:type="dxa" w:w="135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현재 DT swab 연구</w:t>
            </w:r>
          </w:p>
        </w:tc>
        <w:tc>
          <w:tcPr>
            <w:tcW w:type="dxa" w:w="22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건강인 5명; 두 부위; 5개 sampling system; 50 true samples + controls</w:t>
            </w:r>
          </w:p>
        </w:tc>
        <w:tc>
          <w:tcPr>
            <w:tcW w:type="dxa" w:w="29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decontam; singleton removal; Shannon; observed ASVs; UniFrac; 단변량 PERMANOVA; composition; ASV/Genus UpSet</w:t>
            </w:r>
          </w:p>
        </w:tc>
        <w:tc>
          <w:tcPr>
            <w:tcW w:type="dxa" w:w="26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Participant·site 효과가 system보다 큼; 공유 Genus가 reads의 약 97.4% 차지</w:t>
            </w:r>
          </w:p>
        </w:tc>
        <w:tc>
          <w:tcPr>
            <w:tcW w:type="dxa" w:w="2800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저생물량 contamination 처리와 paired design이 강점</w:t>
            </w:r>
          </w:p>
        </w:tc>
        <w:tc>
          <w:tcPr>
            <w:tcW w:type="dxa" w:w="2406"/>
            <w:vAlign w:val="top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Calibri" w:hAnsi="Calibri" w:eastAsia="Malgun Gothic"/>
                <w:b/>
                <w:i w:val="0"/>
                <w:color w:val="202124"/>
                <w:sz w:val="15"/>
              </w:rPr>
              <w:t>추가 분석은 두 항목으로 제한하는 것이 효율적</w:t>
            </w:r>
          </w:p>
        </w:tc>
      </w:tr>
    </w:tbl>
    <w:p>
      <w:pPr>
        <w:spacing w:before="80" w:after="120" w:line="264" w:lineRule="auto"/>
      </w:pPr>
      <w:r>
        <w:rPr>
          <w:rFonts w:ascii="Calibri" w:hAnsi="Calibri" w:eastAsia="Malgun Gothic"/>
          <w:b w:val="0"/>
          <w:i/>
          <w:color w:val="5F6368"/>
          <w:sz w:val="17"/>
        </w:rPr>
        <w:t>표 해석: 선행연구의 상당수는 alpha/beta diversity만으로 끝내지 않고, 공유 reads, similarity/correlation 또는 method-specific low-abundance feature를 이용해 방법 간 일치성을 설명했다.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/>
          <w:b/>
          <w:i w:val="0"/>
          <w:color w:val="2E74B5"/>
          <w:sz w:val="32"/>
        </w:rPr>
        <w:t>2. 추가 분석 후보의 구체적 의미</w:t>
      </w:r>
    </w:p>
    <w:p>
      <w:pPr>
        <w:pStyle w:val="Heading2"/>
        <w:keepNext/>
      </w:pPr>
      <w:r>
        <w:rPr>
          <w:rFonts w:ascii="Calibri" w:hAnsi="Calibri" w:eastAsia="Malgun Gothic"/>
          <w:b/>
          <w:i w:val="0"/>
          <w:color w:val="2E74B5"/>
          <w:sz w:val="26"/>
        </w:rPr>
        <w:t>2.1 UniFrac heatmap 코드의 정량 분석으로 확장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Figure S2에서 사용한 weighted/unweighted UniFrac distance matrix를 그대로 이용한다. Heatmap은 거리 패턴을 시각화하지만, 논문 본문에서 방법 간 일치성을 주장하려면 거리의 분포를 직접 요약하는 편이 명확하다.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Within-participant × site: 동일 참가자·동일 부위에서 서로 다른 sampling system 사이의 거리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Between-participant: 동일 anatomical site에서 서로 다른 참가자 사이의 거리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선택적 비교: 동일 참가자 내 서로 다른 anatomical site 사이의 거리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4800"/>
        <w:gridCol w:w="5256"/>
      </w:tblGrid>
      <w:tr>
        <w:tc>
          <w:tcPr>
            <w:tcW w:type="dxa" w:w="4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17365D"/>
                <w:sz w:val="18"/>
              </w:rPr>
              <w:t>핵심 질문</w:t>
            </w:r>
          </w:p>
        </w:tc>
        <w:tc>
          <w:tcPr>
            <w:tcW w:type="dxa" w:w="4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17365D"/>
                <w:sz w:val="18"/>
              </w:rPr>
              <w:t>권장 출력</w:t>
            </w:r>
          </w:p>
        </w:tc>
        <w:tc>
          <w:tcPr>
            <w:tcW w:type="dxa" w:w="525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17365D"/>
                <w:sz w:val="18"/>
              </w:rPr>
              <w:t>해석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동일 participant·site 내 system 간 거리가 participant 간 거리보다 작은가?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Weighted/Unweighted UniFrac별 boxplot; median·IQR; paired 구조를 고려한 검정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작다면 sampling system보다 participant 신호가 더 안정적으로 보존된다는 직접 근거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algun Gothic"/>
          <w:b/>
          <w:i w:val="0"/>
          <w:color w:val="2E74B5"/>
          <w:sz w:val="26"/>
        </w:rPr>
        <w:t>2.2 Consensus ASV recovery의 의미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각 participant×site에서 5개 system 중 하나 이상에서 검출된 ASV의 합집합을 pooled ASV set으로 정의하고, 각 system이 그중 몇 %를 검출했는지 계산한다. 이는 생물학적 gold standard가 아니라 상대적인 detection coverage이다.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예: pooled ASV set이 200개이고 Type 1에서 160개가 검출되면 detection proportion은 80%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장점: 특정 system이 참가자와 부위 전반에서 반복적으로 feature를 덜 검출하는지 확인 가능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한계: 극저빈도 ASV에 민감하므로 system-specific ASV 분석 결과를 본 뒤 수행 여부를 결정</w:t>
      </w:r>
    </w:p>
    <w:p>
      <w:pPr>
        <w:pStyle w:val="Heading2"/>
        <w:keepNext/>
      </w:pPr>
      <w:r>
        <w:rPr>
          <w:rFonts w:ascii="Calibri" w:hAnsi="Calibri" w:eastAsia="Malgun Gothic"/>
          <w:b/>
          <w:i w:val="0"/>
          <w:color w:val="2E74B5"/>
          <w:sz w:val="26"/>
        </w:rPr>
        <w:t>2.3 System-specific ASV의 abundance·prevalence 확인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5개 system 모두에서 공유된 ASV와 한 system에서만 검출된 ASV를 비교한다. 이 분석은 sampling system에 고유한 signal과 stochastic low-abundance detection을 구분하는 데 목적이 있다.</w:t>
      </w:r>
    </w:p>
    <w:tbl>
      <w:tblPr>
        <w:tblStyle w:val="TableGrid"/>
        <w:tblW w:type="dxa" w:w="14256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10456"/>
      </w:tblGrid>
      <w:tr>
        <w:tc>
          <w:tcPr>
            <w:tcW w:type="dxa" w:w="3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17365D"/>
                <w:sz w:val="18"/>
              </w:rPr>
              <w:t>지표</w:t>
            </w:r>
          </w:p>
        </w:tc>
        <w:tc>
          <w:tcPr>
            <w:tcW w:type="dxa" w:w="10456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17365D"/>
                <w:sz w:val="18"/>
              </w:rPr>
              <w:t>판단 목적</w:t>
            </w:r>
          </w:p>
        </w:tc>
      </w:tr>
      <w:tr>
        <w:tc>
          <w:tcPr>
            <w:tcW w:type="dxa" w:w="3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202124"/>
                <w:sz w:val="18"/>
              </w:rPr>
              <w:t>Total read count</w:t>
            </w:r>
          </w:p>
        </w:tc>
        <w:tc>
          <w:tcPr>
            <w:tcW w:type="dxa" w:w="10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전체 true sample에서 해당 ASV가 차지한 read 수</w:t>
            </w:r>
          </w:p>
        </w:tc>
      </w:tr>
      <w:tr>
        <w:tc>
          <w:tcPr>
            <w:tcW w:type="dxa" w:w="3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202124"/>
                <w:sz w:val="18"/>
              </w:rPr>
              <w:t>Mean/max relative abundance</w:t>
            </w:r>
          </w:p>
        </w:tc>
        <w:tc>
          <w:tcPr>
            <w:tcW w:type="dxa" w:w="10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평균과 최대 상대 abundance</w:t>
            </w:r>
          </w:p>
        </w:tc>
      </w:tr>
      <w:tr>
        <w:tc>
          <w:tcPr>
            <w:tcW w:type="dxa" w:w="3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202124"/>
                <w:sz w:val="18"/>
              </w:rPr>
              <w:t>Sample prevalence</w:t>
            </w:r>
          </w:p>
        </w:tc>
        <w:tc>
          <w:tcPr>
            <w:tcW w:type="dxa" w:w="10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검출된 sample 수와 비율</w:t>
            </w:r>
          </w:p>
        </w:tc>
      </w:tr>
      <w:tr>
        <w:tc>
          <w:tcPr>
            <w:tcW w:type="dxa" w:w="3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202124"/>
                <w:sz w:val="18"/>
              </w:rPr>
              <w:t>Participant/site recurrence</w:t>
            </w:r>
          </w:p>
        </w:tc>
        <w:tc>
          <w:tcPr>
            <w:tcW w:type="dxa" w:w="10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몇 명과 몇 부위에서 반복 검출됐는지</w:t>
            </w:r>
          </w:p>
        </w:tc>
      </w:tr>
      <w:tr>
        <w:tc>
          <w:tcPr>
            <w:tcW w:type="dxa" w:w="3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202124"/>
                <w:sz w:val="18"/>
              </w:rPr>
              <w:t>Taxonomy</w:t>
            </w:r>
          </w:p>
        </w:tc>
        <w:tc>
          <w:tcPr>
            <w:tcW w:type="dxa" w:w="104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오염 가능성 또는 대표 피부 미생물 여부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algun Gothic"/>
          <w:b/>
          <w:i w:val="0"/>
          <w:color w:val="2E74B5"/>
          <w:sz w:val="32"/>
        </w:rPr>
        <w:t>3. 권장 분석 범위</w:t>
      </w:r>
    </w:p>
    <w:tbl>
      <w:tblPr>
        <w:tblStyle w:val="TableGrid"/>
        <w:tblW w:type="dxa" w:w="14256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650"/>
        <w:gridCol w:w="7106"/>
      </w:tblGrid>
      <w:tr>
        <w:tc>
          <w:tcPr>
            <w:tcW w:type="dxa" w:w="15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FFFFFF"/>
                <w:sz w:val="18"/>
              </w:rPr>
              <w:t>우선순위</w:t>
            </w:r>
          </w:p>
        </w:tc>
        <w:tc>
          <w:tcPr>
            <w:tcW w:type="dxa" w:w="565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FFFFFF"/>
                <w:sz w:val="18"/>
              </w:rPr>
              <w:t>분석</w:t>
            </w:r>
          </w:p>
        </w:tc>
        <w:tc>
          <w:tcPr>
            <w:tcW w:type="dxa" w:w="710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FFFFFF"/>
                <w:sz w:val="18"/>
              </w:rPr>
              <w:t>결정</w:t>
            </w:r>
          </w:p>
        </w:tc>
      </w:tr>
      <w:tr>
        <w:tc>
          <w:tcPr>
            <w:tcW w:type="dxa" w:w="1500"/>
            <w:shd w:fill="EAF4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202124"/>
                <w:sz w:val="18"/>
              </w:rPr>
              <w:t>1</w:t>
            </w:r>
          </w:p>
        </w:tc>
        <w:tc>
          <w:tcPr>
            <w:tcW w:type="dxa" w:w="5650"/>
            <w:shd w:fill="EAF4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UniFrac within-participant/site 대 between-participant distance 비교</w:t>
            </w:r>
          </w:p>
        </w:tc>
        <w:tc>
          <w:tcPr>
            <w:tcW w:type="dxa" w:w="7106"/>
            <w:shd w:fill="EAF4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수행 권장: 기존 Figure S2 코드를 직접 재사용 가능</w:t>
            </w:r>
          </w:p>
        </w:tc>
      </w:tr>
      <w:tr>
        <w:tc>
          <w:tcPr>
            <w:tcW w:type="dxa" w:w="1500"/>
            <w:shd w:fill="EAF4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202124"/>
                <w:sz w:val="18"/>
              </w:rPr>
              <w:t>2</w:t>
            </w:r>
          </w:p>
        </w:tc>
        <w:tc>
          <w:tcPr>
            <w:tcW w:type="dxa" w:w="5650"/>
            <w:shd w:fill="EAF4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System-specific ASV의 abundance·prevalence 분포</w:t>
            </w:r>
          </w:p>
        </w:tc>
        <w:tc>
          <w:tcPr>
            <w:tcW w:type="dxa" w:w="7106"/>
            <w:shd w:fill="EAF4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수행 권장: Ogai·Bjerre 연구와 직접 비교 가능</w:t>
            </w:r>
          </w:p>
        </w:tc>
      </w:tr>
      <w:tr>
        <w:tc>
          <w:tcPr>
            <w:tcW w:type="dxa" w:w="1500"/>
            <w:shd w:fill="FFF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202124"/>
                <w:sz w:val="18"/>
              </w:rPr>
              <w:t>3</w:t>
            </w:r>
          </w:p>
        </w:tc>
        <w:tc>
          <w:tcPr>
            <w:tcW w:type="dxa" w:w="5650"/>
            <w:shd w:fill="FFF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Participant×site pooled ASV detection proportion</w:t>
            </w:r>
          </w:p>
        </w:tc>
        <w:tc>
          <w:tcPr>
            <w:tcW w:type="dxa" w:w="7106"/>
            <w:shd w:fill="FFF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2번 결과 확인 후 선택</w:t>
            </w:r>
          </w:p>
        </w:tc>
      </w:tr>
      <w:tr>
        <w:tc>
          <w:tcPr>
            <w:tcW w:type="dxa" w:w="15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/>
                <w:i w:val="0"/>
                <w:color w:val="202124"/>
                <w:sz w:val="18"/>
              </w:rPr>
              <w:t>제외</w:t>
            </w:r>
          </w:p>
        </w:tc>
        <w:tc>
          <w:tcPr>
            <w:tcW w:type="dxa" w:w="565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Genus 상관/ICC; 추가 filtering sensitivity; decontam 반복; 비유의 항목 CI 확대</w:t>
            </w:r>
          </w:p>
        </w:tc>
        <w:tc>
          <w:tcPr>
            <w:tcW w:type="dxa" w:w="7106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algun Gothic"/>
                <w:b w:val="0"/>
                <w:i w:val="0"/>
                <w:color w:val="202124"/>
                <w:sz w:val="18"/>
              </w:rPr>
              <w:t>현재 연구 목적과 자료 범위를 고려해 제외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algun Gothic"/>
          <w:b/>
          <w:i w:val="0"/>
          <w:color w:val="2E74B5"/>
          <w:sz w:val="32"/>
        </w:rPr>
        <w:t>4. 논문에서 사용할 수 있는 핵심 서사</w:t>
      </w:r>
    </w:p>
    <w:tbl>
      <w:tblPr>
        <w:tblStyle w:val="TableGrid"/>
        <w:tblW w:type="dxa" w:w="14256"/>
        <w:tblLayout w:type="fixed"/>
        <w:tblLook w:firstColumn="1" w:firstRow="1" w:lastColumn="0" w:lastRow="0" w:noHBand="0" w:noVBand="1" w:val="04A0"/>
        <w:tblInd w:w="120" w:type="dxa"/>
      </w:tblPr>
      <w:tblGrid>
        <w:gridCol w:w="14256"/>
      </w:tblGrid>
      <w:tr>
        <w:tc>
          <w:tcPr>
            <w:tcW w:type="dxa" w:w="14256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r>
              <w:rPr>
                <w:rFonts w:ascii="Calibri" w:hAnsi="Calibri" w:eastAsia="Malgun Gothic"/>
                <w:b/>
                <w:i/>
                <w:color w:val="17365D"/>
                <w:sz w:val="21"/>
              </w:rPr>
              <w:t>Sampling systems differed mainly in the detection of low-abundance ASVs, whereas within-participant community profiles and the dominant bacterial signal were consistently recovered across systems. Participant identity and anatomical site explained substantially more variation than the sampling system.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algun Gothic"/>
          <w:b/>
          <w:i w:val="0"/>
          <w:color w:val="2E74B5"/>
          <w:sz w:val="32"/>
        </w:rPr>
        <w:t>5. 참고문헌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Grice EA, et al. A diversity profile of the human skin microbiota. Genome Research. 2008;18:1043-1050. doi:10.1101/gr.075549.107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Ogai K, et al. A Comparison of Techniques for Collecting Skin Microbiome Samples: Swabbing Versus Tape-Stripping. Frontiers in Microbiology. 2018;9:2362. doi:10.3389/fmicb.2018.02362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Bjerre RD, et al. Effects of sampling strategy and DNA extraction on human skin microbiome investigations. Scientific Reports. 2019;9:17287. doi:10.1038/s41598-019-53599-z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Manus MB, et al. Comparing different sample collection and storage methods for field-based skin microbiome research. American Journal of Human Biology. 2022;34:e23584. doi:10.1002/ajhb.23584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Balacco DL, et al. Optimisation of cutaneous microbiota sampling methodology. 2025. PubMed PMID: 41852422.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algun Gothic"/>
          <w:b w:val="0"/>
          <w:i w:val="0"/>
          <w:color w:val="202124"/>
          <w:sz w:val="21"/>
        </w:rPr>
        <w:t>Optimisation of the sampling method for skin microbiome studies in healthy children: a pilot cohort study. Frontiers in Microbiomes. 2024;3:1446394. doi:10.3389/frmbi.2024.1446394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792" w:bottom="864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b w:val="0"/>
        <w:i w:val="0"/>
        <w:color w:val="5F6368"/>
        <w:sz w:val="16"/>
      </w:rPr>
      <w:t>Prepared 24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b/>
        <w:i w:val="0"/>
        <w:color w:val="5F6368"/>
        <w:sz w:val="17"/>
      </w:rPr>
      <w:t>SKIN MICROBIOME SAMPLING METHOD | LITERATURE COMPARISON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피부 마이크로바이옴 Sampling Method 비교 연구 검토</dc:title>
  <dc:subject>선행연구와 DT swab 연구의 분석 항목 비교</dc:subject>
  <dc:creator>Research analysis support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