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10/15/2024 refers to the date this CSV file was generated. 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imageid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Unique identifies for this caption and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pdf_name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 name of the pdf in the /PDF folder where this caption and chart were sourced.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full_caption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 full text of the caption.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 field of the chart and caption. It will be one of three values: Healthcare, Climate Science, and Energy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image_credit_citation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 citation of the pdf_name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charttype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 type of visual representation listed in a string. For example “Bar Graph,Line Chart”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States the number of views in the figure: single view or composite 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Semantic Clarity. How easy is it to recognize the cues to decode the information? Possible values: Low, or 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Reasoning complexity. How much effort does a user need to extract the information from this chart? Possible values: Low, or 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type_of_association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Type of reasoning strategy needed to decode the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recognize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pieces of information need to be identified?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synthesize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visual cues are combined to interpret the pieces of information?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assimilate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How are the pieces of information combined?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Does this figure refer to different sources of data? (e.g, models)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Does this figure refer to discrete entities?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ground_truth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Is there a baseline used as a comparison?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image_path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Link to the chart in /Images folder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Aggregation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Number of keywords that appear under the Aggregation dimension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Uncertainty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Number of keywords that appear under the Uncertainty dimension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Number of keywords that appear under the Statistics dimension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Number of keywords that appear under the Task dimension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Number of keywords that appear under the Pattern dimension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Graphical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Number of keywords that appear under the Graphical dimension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[Aggregation, Uncertainty, Statistics, Task, Pattern, Graphical] columns consolidated into a single column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