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9D1C2" w14:textId="6A99A081" w:rsidR="005E09C5" w:rsidRDefault="00BE2A1D">
      <w:r>
        <w:t>Crystal Long</w:t>
      </w:r>
    </w:p>
    <w:p w14:paraId="400B4045" w14:textId="2B3DD940" w:rsidR="00BE2A1D" w:rsidRDefault="00BE2A1D">
      <w:r>
        <w:t>Module 12.2 Assignment: Compliance</w:t>
      </w:r>
    </w:p>
    <w:p w14:paraId="49F2BB57" w14:textId="324E1EA6" w:rsidR="00BE2A1D" w:rsidRDefault="00BE2A1D">
      <w:r>
        <w:t>Sue Sampson</w:t>
      </w:r>
    </w:p>
    <w:p w14:paraId="03B8CE3F" w14:textId="77777777" w:rsidR="007205AD" w:rsidRPr="007205AD" w:rsidRDefault="007205AD" w:rsidP="007205AD">
      <w:r w:rsidRPr="007205AD">
        <w:t xml:space="preserve">DevOps is often associated with speed, automation, and frequent changes, which can feel incompatible with strict regulations and compliance requirements. Many organizations in industries such as healthcare, finance, and government must follow detailed rules while </w:t>
      </w:r>
      <w:proofErr w:type="gramStart"/>
      <w:r w:rsidRPr="007205AD">
        <w:t>still keeping</w:t>
      </w:r>
      <w:proofErr w:type="gramEnd"/>
      <w:r w:rsidRPr="007205AD">
        <w:t xml:space="preserve"> systems reliable and secure. Chapter 23 of the textbook presents two case studies, </w:t>
      </w:r>
      <w:r w:rsidRPr="007205AD">
        <w:rPr>
          <w:i/>
          <w:iCs/>
        </w:rPr>
        <w:t>Providing Compliance in Regulated Environments</w:t>
      </w:r>
      <w:r w:rsidRPr="007205AD">
        <w:t xml:space="preserve"> and </w:t>
      </w:r>
      <w:r w:rsidRPr="007205AD">
        <w:rPr>
          <w:i/>
          <w:iCs/>
        </w:rPr>
        <w:t>Relying on Production Telemetry for ATM Systems</w:t>
      </w:r>
      <w:r w:rsidRPr="007205AD">
        <w:t xml:space="preserve">, that show how DevOps practices can </w:t>
      </w:r>
      <w:proofErr w:type="gramStart"/>
      <w:r w:rsidRPr="007205AD">
        <w:t>actually support</w:t>
      </w:r>
      <w:proofErr w:type="gramEnd"/>
      <w:r w:rsidRPr="007205AD">
        <w:t xml:space="preserve"> compliance instead of working against it. Both case studies focus on visibility, automation, and real-world system behavior as key tools for managing risk.</w:t>
      </w:r>
    </w:p>
    <w:p w14:paraId="63CCF7E3" w14:textId="77777777" w:rsidR="007205AD" w:rsidRPr="007205AD" w:rsidRDefault="007205AD" w:rsidP="007205AD">
      <w:r w:rsidRPr="007205AD">
        <w:t xml:space="preserve">The first case study, </w:t>
      </w:r>
      <w:r w:rsidRPr="007205AD">
        <w:rPr>
          <w:i/>
          <w:iCs/>
        </w:rPr>
        <w:t>Providing Compliance in Regulated Environments</w:t>
      </w:r>
      <w:r w:rsidRPr="007205AD">
        <w:t xml:space="preserve">, explains that a major challenge comes from how auditors traditionally approach compliance. Older auditing methods were designed for environments where systems were physical, stable, and slow to change. In modern cloud-based DevOps environments, infrastructure is created and destroyed automatically, making screenshots, manual samples, and static reports ineffective. It is </w:t>
      </w:r>
      <w:proofErr w:type="gramStart"/>
      <w:r w:rsidRPr="007205AD">
        <w:t>similar to</w:t>
      </w:r>
      <w:proofErr w:type="gramEnd"/>
      <w:r w:rsidRPr="007205AD">
        <w:t xml:space="preserve"> trying to take a snapshot of a moving target and expecting it to represent the whole system.</w:t>
      </w:r>
    </w:p>
    <w:p w14:paraId="494EB7B9" w14:textId="77777777" w:rsidR="007205AD" w:rsidRPr="007205AD" w:rsidRDefault="007205AD" w:rsidP="007205AD">
      <w:r w:rsidRPr="007205AD">
        <w:t>To solve this problem, the case study emphasizes the need to build compliance directly into DevOps workflows. Instead of collecting evidence at the end of a project, organizations can use automated logging and monitoring systems that continuously track system activity. This approach allows compliance evidence to be available on demand, without interrupting development or operations teams. Another important point is collaboration. When auditors and DevOps teams work together early to define controls and evidence requirements, compliance becomes part of the design rather than an obstacle. The main lesson from this case study is that compliance works best when it is continuous, automated, and integrated into daily operations.</w:t>
      </w:r>
    </w:p>
    <w:p w14:paraId="6BEB2280" w14:textId="77777777" w:rsidR="007205AD" w:rsidRPr="007205AD" w:rsidRDefault="007205AD" w:rsidP="007205AD">
      <w:r w:rsidRPr="007205AD">
        <w:t xml:space="preserve">The second case study, </w:t>
      </w:r>
      <w:r w:rsidRPr="007205AD">
        <w:rPr>
          <w:i/>
          <w:iCs/>
        </w:rPr>
        <w:t>Relying on Production Telemetry for ATM Systems</w:t>
      </w:r>
      <w:r w:rsidRPr="007205AD">
        <w:t xml:space="preserve">, focuses on how real-time monitoring can uncover issues that preventive controls alone may miss. In this scenario, a developer introduced a backdoor into ATM software that allowed unauthorized withdrawals. Despite having approval processes, code reviews, and separation of duties, </w:t>
      </w:r>
      <w:proofErr w:type="gramStart"/>
      <w:r w:rsidRPr="007205AD">
        <w:t>the fraud</w:t>
      </w:r>
      <w:proofErr w:type="gramEnd"/>
      <w:r w:rsidRPr="007205AD">
        <w:t xml:space="preserve"> was not detected during development. This shows that even well-designed controls can fail when relying solely on prevention.</w:t>
      </w:r>
    </w:p>
    <w:p w14:paraId="369770BA" w14:textId="77777777" w:rsidR="007205AD" w:rsidRPr="007205AD" w:rsidRDefault="007205AD" w:rsidP="007205AD">
      <w:r w:rsidRPr="007205AD">
        <w:t xml:space="preserve">What ultimately exposed the issue was production telemetry. Monitoring systems revealed unusual ATM behavior, such as machines entering maintenance mode at unexpected </w:t>
      </w:r>
      <w:r w:rsidRPr="007205AD">
        <w:lastRenderedPageBreak/>
        <w:t xml:space="preserve">times. This is </w:t>
      </w:r>
      <w:proofErr w:type="gramStart"/>
      <w:r w:rsidRPr="007205AD">
        <w:t>similar to</w:t>
      </w:r>
      <w:proofErr w:type="gramEnd"/>
      <w:r w:rsidRPr="007205AD">
        <w:t xml:space="preserve"> noticing suspicious activity on a credit card account before a major loss occurs. The visibility provided by telemetry allowed the organization to detect and respond to the problem quickly, reducing damage and risk. The lesson from this case study is that monitoring actual system behavior is critical for security and compliance, especially when insider threats are possible.</w:t>
      </w:r>
    </w:p>
    <w:p w14:paraId="6ACC5C85" w14:textId="77777777" w:rsidR="007205AD" w:rsidRPr="007205AD" w:rsidRDefault="007205AD" w:rsidP="007205AD">
      <w:r w:rsidRPr="007205AD">
        <w:t>Together, these case studies demonstrate that DevOps, compliance, and security are not opposing forces. When organizations rely on automation, telemetry, and transparency, they gain a clearer picture of how systems operate in real life. Rather than slowing down development, these practices improve trust, reduce risk, and make audits more meaningful. The key takeaway is that modern compliance is less about static documentation and more about continuously proving that systems are working as intended.</w:t>
      </w:r>
    </w:p>
    <w:p w14:paraId="1D9F6B79" w14:textId="77777777" w:rsidR="00BE2A1D" w:rsidRDefault="00BE2A1D"/>
    <w:p w14:paraId="7FB2976F" w14:textId="77777777" w:rsidR="007205AD" w:rsidRDefault="007205AD" w:rsidP="007205AD">
      <w:r>
        <w:t>Resources:</w:t>
      </w:r>
    </w:p>
    <w:p w14:paraId="01686DCC" w14:textId="77777777" w:rsidR="007205AD" w:rsidRDefault="007205AD" w:rsidP="007205AD">
      <w:r w:rsidRPr="007205AD">
        <w:t xml:space="preserve">Kim, G., Humble, J., Debois, P., &amp; Willis, J. (2021). </w:t>
      </w:r>
      <w:r w:rsidRPr="007205AD">
        <w:rPr>
          <w:i/>
          <w:iCs/>
        </w:rPr>
        <w:t>The DevOps handbook: How to create world-class agility, reliability, &amp; security in technology organizations</w:t>
      </w:r>
      <w:r w:rsidRPr="007205AD">
        <w:t xml:space="preserve"> (2nd ed.). IT Revolution Press.</w:t>
      </w:r>
    </w:p>
    <w:p w14:paraId="1E48D0F3" w14:textId="77777777" w:rsidR="007205AD" w:rsidRDefault="007205AD" w:rsidP="007205AD">
      <w:r>
        <w:t>Citation Resource:</w:t>
      </w:r>
    </w:p>
    <w:p w14:paraId="6A84C9B3" w14:textId="77777777" w:rsidR="007205AD" w:rsidRDefault="007205AD" w:rsidP="007205AD">
      <w:r w:rsidRPr="007205AD">
        <w:t xml:space="preserve">OpenAI. (2025). </w:t>
      </w:r>
      <w:r w:rsidRPr="007205AD">
        <w:rPr>
          <w:i/>
          <w:iCs/>
        </w:rPr>
        <w:t>ChatGPT (GPT-5) citation formatting assistance</w:t>
      </w:r>
      <w:r w:rsidRPr="007205AD">
        <w:t>. OpenAI.</w:t>
      </w:r>
    </w:p>
    <w:p w14:paraId="5AFF3644" w14:textId="46387A24" w:rsidR="007205AD" w:rsidRDefault="007205AD"/>
    <w:sectPr w:rsidR="00720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A1D"/>
    <w:rsid w:val="0009258A"/>
    <w:rsid w:val="000D4C25"/>
    <w:rsid w:val="003620BB"/>
    <w:rsid w:val="00502276"/>
    <w:rsid w:val="005E09C5"/>
    <w:rsid w:val="007205AD"/>
    <w:rsid w:val="00952A02"/>
    <w:rsid w:val="00AB6F25"/>
    <w:rsid w:val="00B10C9A"/>
    <w:rsid w:val="00BE2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56B7D"/>
  <w15:chartTrackingRefBased/>
  <w15:docId w15:val="{A1EA005E-C10A-4528-B16D-4442C4DE3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A1D"/>
    <w:rPr>
      <w:rFonts w:eastAsiaTheme="majorEastAsia" w:cstheme="majorBidi"/>
      <w:color w:val="272727" w:themeColor="text1" w:themeTint="D8"/>
    </w:rPr>
  </w:style>
  <w:style w:type="paragraph" w:styleId="Title">
    <w:name w:val="Title"/>
    <w:basedOn w:val="Normal"/>
    <w:next w:val="Normal"/>
    <w:link w:val="TitleChar"/>
    <w:uiPriority w:val="10"/>
    <w:qFormat/>
    <w:rsid w:val="00BE2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A1D"/>
    <w:pPr>
      <w:spacing w:before="160"/>
      <w:jc w:val="center"/>
    </w:pPr>
    <w:rPr>
      <w:i/>
      <w:iCs/>
      <w:color w:val="404040" w:themeColor="text1" w:themeTint="BF"/>
    </w:rPr>
  </w:style>
  <w:style w:type="character" w:customStyle="1" w:styleId="QuoteChar">
    <w:name w:val="Quote Char"/>
    <w:basedOn w:val="DefaultParagraphFont"/>
    <w:link w:val="Quote"/>
    <w:uiPriority w:val="29"/>
    <w:rsid w:val="00BE2A1D"/>
    <w:rPr>
      <w:i/>
      <w:iCs/>
      <w:color w:val="404040" w:themeColor="text1" w:themeTint="BF"/>
    </w:rPr>
  </w:style>
  <w:style w:type="paragraph" w:styleId="ListParagraph">
    <w:name w:val="List Paragraph"/>
    <w:basedOn w:val="Normal"/>
    <w:uiPriority w:val="34"/>
    <w:qFormat/>
    <w:rsid w:val="00BE2A1D"/>
    <w:pPr>
      <w:ind w:left="720"/>
      <w:contextualSpacing/>
    </w:pPr>
  </w:style>
  <w:style w:type="character" w:styleId="IntenseEmphasis">
    <w:name w:val="Intense Emphasis"/>
    <w:basedOn w:val="DefaultParagraphFont"/>
    <w:uiPriority w:val="21"/>
    <w:qFormat/>
    <w:rsid w:val="00BE2A1D"/>
    <w:rPr>
      <w:i/>
      <w:iCs/>
      <w:color w:val="0F4761" w:themeColor="accent1" w:themeShade="BF"/>
    </w:rPr>
  </w:style>
  <w:style w:type="paragraph" w:styleId="IntenseQuote">
    <w:name w:val="Intense Quote"/>
    <w:basedOn w:val="Normal"/>
    <w:next w:val="Normal"/>
    <w:link w:val="IntenseQuoteChar"/>
    <w:uiPriority w:val="30"/>
    <w:qFormat/>
    <w:rsid w:val="00BE2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A1D"/>
    <w:rPr>
      <w:i/>
      <w:iCs/>
      <w:color w:val="0F4761" w:themeColor="accent1" w:themeShade="BF"/>
    </w:rPr>
  </w:style>
  <w:style w:type="character" w:styleId="IntenseReference">
    <w:name w:val="Intense Reference"/>
    <w:basedOn w:val="DefaultParagraphFont"/>
    <w:uiPriority w:val="32"/>
    <w:qFormat/>
    <w:rsid w:val="00BE2A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2783</TotalTime>
  <Pages>2</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Long</dc:creator>
  <cp:keywords/>
  <dc:description/>
  <cp:lastModifiedBy>Crystal Long</cp:lastModifiedBy>
  <cp:revision>1</cp:revision>
  <dcterms:created xsi:type="dcterms:W3CDTF">2025-12-16T23:58:00Z</dcterms:created>
  <dcterms:modified xsi:type="dcterms:W3CDTF">2025-12-18T23:30:00Z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ebf77b87-4fe7-42a8-95ac-6ac5baf2bc72</vt:lpwstr>
  </property>
</Properties>
</file>