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🔻 Braun–Stanley Layer Formation &amp; Verification Logbook</w:t>
      </w:r>
    </w:p>
    <w:p>
      <w:pPr>
        <w:pStyle w:val="Heading2"/>
      </w:pPr>
      <w:r>
        <w:t>Overview</w:t>
      </w:r>
    </w:p>
    <w:p>
      <w:r>
        <w:t>The Braun–Stanley Layer (BSL) is a thermally and electrically induced copper sulfide junction formed on a copper conductor using sulfur and DC bias. It enables directional current flow while preserving displacement current and capacitive field geometry. This field-preserving junction concept is based on copper sulfide's semiconducting properties when grown under electric bias.</w:t>
      </w:r>
    </w:p>
    <w:p>
      <w:pPr>
        <w:pStyle w:val="Heading2"/>
      </w:pPr>
      <w:r>
        <w:t>Required Materials</w:t>
      </w:r>
    </w:p>
    <w:p>
      <w:r>
        <w:t>- Copper wire (solid or copper-plated) – 0.5–1.0 mm diameter</w:t>
        <w:br/>
        <w:t>- Power supply – Adjustable DC (3–12 V), current-limited</w:t>
        <w:br/>
        <w:t>- Sulfur powder – Pure (lab-grade or garden fungicide)</w:t>
        <w:br/>
        <w:t>- Torch or heat gun – capable of 300–600 °C</w:t>
        <w:br/>
        <w:t>- Heat-resistant surface – ceramic, stone, or metal tile</w:t>
        <w:br/>
        <w:t>- Alligator clip leads – for power connection</w:t>
        <w:br/>
        <w:t>- Digital multimeter – with diode &amp; resistance modes</w:t>
        <w:br/>
        <w:t>- Optional: Infrared thermometer and magnifier</w:t>
      </w:r>
    </w:p>
    <w:p>
      <w:pPr>
        <w:pStyle w:val="Heading2"/>
      </w:pPr>
      <w:r>
        <w:t>Procedure</w:t>
      </w:r>
    </w:p>
    <w:p>
      <w:r>
        <w:t>1. Clean a 5 cm copper wire segment.</w:t>
      </w:r>
    </w:p>
    <w:p>
      <w:r>
        <w:t>2. Connect DC power supply: Positive lead to sulfurized end.</w:t>
      </w:r>
    </w:p>
    <w:p>
      <w:r>
        <w:t>3. Set voltage to 5V and limit current to 200–300 mA.</w:t>
      </w:r>
    </w:p>
    <w:p>
      <w:r>
        <w:t>4. Lay the wire on a heat-resistant surface.</w:t>
      </w:r>
    </w:p>
    <w:p>
      <w:r>
        <w:t>5. Sprinkle sulfur on a 1 cm central section of the wire.</w:t>
      </w:r>
    </w:p>
    <w:p>
      <w:r>
        <w:t>6. Gently heat with a torch (~400–500 °C) for 5–15 seconds.</w:t>
      </w:r>
    </w:p>
    <w:p>
      <w:r>
        <w:t>7. Maintain DC current flow during heating.</w:t>
      </w:r>
    </w:p>
    <w:p>
      <w:r>
        <w:t>8. Remove heat and allow to cool naturally.</w:t>
      </w:r>
    </w:p>
    <w:p>
      <w:pPr>
        <w:pStyle w:val="Heading2"/>
      </w:pPr>
      <w:r>
        <w:t>Testing the Braun–Stanley Layer</w:t>
      </w:r>
    </w:p>
    <w:p>
      <w:r>
        <w:t>Use a digital multimeter in diode mode to measure resistance across the sulfide section:</w:t>
        <w:br/>
        <w:t>- Expect low resistance in one direction, higher in the reverse.</w:t>
        <w:br/>
        <w:t>- Measure I–V asymmetry using a small DC supply and observe diode-like response.</w:t>
      </w:r>
    </w:p>
    <w:p>
      <w:pPr>
        <w:pStyle w:val="Heading2"/>
      </w:pPr>
      <w:r>
        <w:t>Experimental Verification Log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Entry</w:t>
            </w:r>
          </w:p>
        </w:tc>
        <w:tc>
          <w:tcPr>
            <w:tcW w:type="dxa" w:w="864"/>
          </w:tcPr>
          <w:p>
            <w:r>
              <w:t>Date</w:t>
            </w:r>
          </w:p>
        </w:tc>
        <w:tc>
          <w:tcPr>
            <w:tcW w:type="dxa" w:w="864"/>
          </w:tcPr>
          <w:p>
            <w:r>
              <w:t>Wire Type</w:t>
            </w:r>
          </w:p>
        </w:tc>
        <w:tc>
          <w:tcPr>
            <w:tcW w:type="dxa" w:w="864"/>
          </w:tcPr>
          <w:p>
            <w:r>
              <w:t>Voltage / Current</w:t>
            </w:r>
          </w:p>
        </w:tc>
        <w:tc>
          <w:tcPr>
            <w:tcW w:type="dxa" w:w="864"/>
          </w:tcPr>
          <w:p>
            <w:r>
              <w:t>Sulfur Method</w:t>
            </w:r>
          </w:p>
        </w:tc>
        <w:tc>
          <w:tcPr>
            <w:tcW w:type="dxa" w:w="864"/>
          </w:tcPr>
          <w:p>
            <w:r>
              <w:t>Heat Time</w:t>
            </w:r>
          </w:p>
        </w:tc>
        <w:tc>
          <w:tcPr>
            <w:tcW w:type="dxa" w:w="864"/>
          </w:tcPr>
          <w:p>
            <w:r>
              <w:t>Fwd R</w:t>
            </w:r>
          </w:p>
        </w:tc>
        <w:tc>
          <w:tcPr>
            <w:tcW w:type="dxa" w:w="864"/>
          </w:tcPr>
          <w:p>
            <w:r>
              <w:t>Rev R</w:t>
            </w:r>
          </w:p>
        </w:tc>
        <w:tc>
          <w:tcPr>
            <w:tcW w:type="dxa" w:w="864"/>
          </w:tcPr>
          <w:p>
            <w:r>
              <w:t>Notes</w:t>
            </w:r>
          </w:p>
        </w:tc>
        <w:tc>
          <w:tcPr>
            <w:tcW w:type="dxa" w:w="864"/>
          </w:tcPr>
          <w:p>
            <w:r>
              <w:t>Temp Est.</w:t>
            </w:r>
          </w:p>
        </w:tc>
      </w:tr>
    </w:tbl>
    <w:p>
      <w:pPr>
        <w:pStyle w:val="Heading2"/>
      </w:pPr>
      <w:r>
        <w:t>Current-Induced Heating Observations</w:t>
      </w:r>
    </w:p>
    <w:p>
      <w:r>
        <w:t>For experiments using self-heating wire (e.g. copper-plated nichrome), track:</w:t>
        <w:br/>
        <w:t>- Supply voltage and current used for heating</w:t>
        <w:br/>
        <w:t>- Duration of current flow before and during sulfur application</w:t>
        <w:br/>
        <w:t>- Enamel behavior: burn-off, residue, or intact</w:t>
        <w:br/>
        <w:t>- Temperature estimate (IR thermometer or observation)</w:t>
        <w:br/>
        <w:t>- Any discoloration, glow, or field effects observed</w:t>
        <w:br/>
        <w:t>- Surface adherence of sulfur layer post-treatment</w:t>
        <w:br/>
      </w:r>
    </w:p>
    <w:p>
      <w:pPr>
        <w:pStyle w:val="Heading2"/>
      </w:pPr>
      <w:r>
        <w:t>Public Domain Declaration</w:t>
      </w:r>
    </w:p>
    <w:p>
      <w:r>
        <w:t>The Braun–Stanley Layer (BSL) and all related research herein are placed in the public domain by the contributor. You may freely use, reproduce, modify, and distribute this work without restriction.</w:t>
        <w:br/>
        <w:t>Name: ______________________   Signature: __________________ Date: ___________</w:t>
        <w:br/>
        <w:t>Optional URL for sharing this contribution: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