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 xml:space="preserve">Ticket out the Door.  </w:t>
      </w:r>
      <w:r>
        <w:rPr>
          <w:u w:val="single"/>
        </w:rPr>
        <w:t>25</w:t>
      </w:r>
      <w:r>
        <w:rPr>
          <w:u w:val="single"/>
        </w:rPr>
        <w:t>%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w:t>
      </w:r>
      <w:r>
        <w:rPr>
          <w:i/>
        </w:rPr>
        <w:t>of the quarter during which they were assigned</w:t>
      </w:r>
    </w:p>
    <w:p>
      <w:pPr>
        <w:pStyle w:val="Normal"/>
        <w:rPr/>
      </w:pPr>
      <w:r>
        <w:rPr>
          <w:u w:val="single"/>
        </w:rPr>
        <w:t xml:space="preserve">Exams.  25% of your semester grade will come from </w:t>
      </w:r>
      <w:r>
        <w:rPr>
          <w:u w:val="single"/>
        </w:rPr>
        <w:t>e</w:t>
      </w:r>
      <w:r>
        <w:rPr>
          <w:u w:val="single"/>
        </w:rPr>
        <w:t>xams.</w:t>
      </w:r>
    </w:p>
    <w:p>
      <w:pPr>
        <w:pStyle w:val="Normal"/>
        <w:rPr/>
      </w:pPr>
      <w:r>
        <w:rPr/>
        <w:t xml:space="preserve">Each week you will complete an exam.  The content that appears on the exam will come directly from the previous week’s labs and lectures.  </w:t>
      </w:r>
    </w:p>
    <w:p>
      <w:pPr>
        <w:pStyle w:val="Normal"/>
        <w:rPr/>
      </w:pPr>
      <w:r>
        <w:rPr/>
        <w:t xml:space="preserve">All missed exams must be completed </w:t>
      </w:r>
      <w:r>
        <w:rPr>
          <w:i/>
          <w:iCs/>
        </w:rPr>
        <w:t>two weeks before the end of the quarter during which they were assigned</w:t>
      </w:r>
      <w:r>
        <w:rPr/>
        <w:t xml:space="preserve">.  </w:t>
      </w:r>
    </w:p>
    <w:p>
      <w:pPr>
        <w:pStyle w:val="Normal"/>
        <w:rPr>
          <w:b/>
          <w:b/>
        </w:rPr>
      </w:pPr>
      <w:r>
        <w:rPr>
          <w:b/>
        </w:rPr>
        <w:t>Retake Policy</w:t>
      </w:r>
    </w:p>
    <w:p>
      <w:pPr>
        <w:pStyle w:val="Normal"/>
        <w:rPr/>
      </w:pPr>
      <w:r>
        <w:rPr/>
        <w:t xml:space="preserve">You may retake </w:t>
      </w:r>
      <w:r>
        <w:rPr/>
        <w:t>any</w:t>
      </w:r>
      <w:r>
        <w:rPr/>
        <w:t xml:space="preserve">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i/>
          <w:iCs/>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quarter during which they were assigned. </w:t>
      </w:r>
    </w:p>
    <w:p>
      <w:pPr>
        <w:pStyle w:val="Normal"/>
        <w:rPr>
          <w:u w:val="single"/>
        </w:rPr>
      </w:pPr>
      <w:r>
        <w:rPr>
          <w:u w:val="single"/>
        </w:rPr>
        <w:t>Labs.  25% of your semester grade will come from Programming labs.</w:t>
      </w:r>
    </w:p>
    <w:p>
      <w:pPr>
        <w:pStyle w:val="Normal"/>
        <w:rPr/>
      </w:pPr>
      <w:r>
        <w:rPr/>
        <w:t xml:space="preserve">Programming </w:t>
      </w:r>
      <w:r>
        <w:rPr/>
        <w:t xml:space="preserve">labs will be an integral part of the course.  Each lab will required you to propose a written solution to a coding task or problem.  A written solution can simply be pseudo code, along with a description of how your code works to accomplish a task or solve the problem.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two weeks before </w:t>
      </w:r>
      <w:r>
        <w:rPr>
          <w:i/>
        </w:rPr>
        <w:t xml:space="preserve">the end of the quarter during which they were assigned.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u w:val="single"/>
        </w:rPr>
      </w:pPr>
      <w:r>
        <w:rPr>
          <w:u w:val="single"/>
        </w:rPr>
        <w:t>Projects. 25% of your semester grade will be based on projects.</w:t>
      </w:r>
    </w:p>
    <w:p>
      <w:pPr>
        <w:pStyle w:val="Normal"/>
        <w:rPr/>
      </w:pPr>
      <w:r>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code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1"/>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You may not resubmitted late projects</w:t>
      </w:r>
    </w:p>
    <w:p>
      <w:pPr>
        <w:pStyle w:val="Normal"/>
        <w:rPr/>
      </w:pPr>
      <w:bookmarkStart w:id="0" w:name="_heading=h.4b71xf4xu12b"/>
      <w:bookmarkEnd w:id="0"/>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1"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1"/>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A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1 </w:t>
    </w:r>
    <w:r>
      <w:rPr>
        <w:rFonts w:eastAsia="Calibri" w:cs="Calibri"/>
        <w:b/>
        <w:i w:val="false"/>
        <w:caps w:val="false"/>
        <w:smallCaps w:val="false"/>
        <w:strike w:val="false"/>
        <w:dstrike w:val="false"/>
        <w:color w:val="000000"/>
        <w:position w:val="0"/>
        <w:sz w:val="28"/>
        <w:sz w:val="28"/>
        <w:szCs w:val="28"/>
        <w:u w:val="none"/>
        <w:vertAlign w:val="baseline"/>
      </w:rPr>
      <w:t>2020 - 2021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2</Pages>
  <Words>595</Words>
  <Characters>2714</Characters>
  <CharactersWithSpaces>3263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2020-08-10T15:25:14Z</dcterms:modified>
  <cp:revision>7</cp:revision>
  <dc:subject/>
  <dc:title/>
</cp:coreProperties>
</file>