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w:t>
      </w:r>
      <w:r w:rsidDel="00000000" w:rsidR="00000000" w:rsidRPr="00000000">
        <w:rPr>
          <w:color w:val="333333"/>
          <w:sz w:val="24"/>
          <w:szCs w:val="24"/>
          <w:highlight w:val="white"/>
          <w:rtl w:val="0"/>
        </w:rPr>
        <w:t xml:space="preserve">Located on the Otago Peninsula on the eastern seaboard of New Zealand's South Island, Dunedin is a thriving city of 125,000 with obvious links to Scotland in terms of history and architecture. In fact, the name means "Edinburgh" in Scottish Gaelic. Its popularity with cruise ship passengers is thanks to an easily navigable city centre, interesting museums and galleries, chocolate-focused Cadbury World, fresh seafood at a variety of restaurants and several interesting shore excursion options.”</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b w:val="1"/>
          <w:color w:val="333333"/>
          <w:sz w:val="24"/>
          <w:szCs w:val="24"/>
          <w:highlight w:val="white"/>
          <w:rtl w:val="0"/>
        </w:rPr>
        <w:t xml:space="preserve">Attractions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sz w:val="24"/>
                <w:szCs w:val="24"/>
                <w:highlight w:val="white"/>
              </w:rPr>
            </w:pPr>
            <w:r w:rsidDel="00000000" w:rsidR="00000000" w:rsidRPr="00000000">
              <w:rPr>
                <w:color w:val="333333"/>
                <w:sz w:val="24"/>
                <w:szCs w:val="24"/>
                <w:highlight w:val="white"/>
                <w:rtl w:val="0"/>
              </w:rPr>
              <w:t xml:space="preserve">Attraction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sz w:val="24"/>
                <w:szCs w:val="24"/>
                <w:highlight w:val="white"/>
              </w:rPr>
            </w:pPr>
            <w:r w:rsidDel="00000000" w:rsidR="00000000" w:rsidRPr="00000000">
              <w:rPr>
                <w:color w:val="333333"/>
                <w:sz w:val="24"/>
                <w:szCs w:val="24"/>
                <w:highlight w:val="white"/>
                <w:rtl w:val="0"/>
              </w:rPr>
              <w:t xml:space="preserve">Latitude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sz w:val="24"/>
                <w:szCs w:val="24"/>
                <w:highlight w:val="white"/>
              </w:rPr>
            </w:pPr>
            <w:r w:rsidDel="00000000" w:rsidR="00000000" w:rsidRPr="00000000">
              <w:rPr>
                <w:color w:val="333333"/>
                <w:sz w:val="24"/>
                <w:szCs w:val="24"/>
                <w:highlight w:val="white"/>
                <w:rtl w:val="0"/>
              </w:rPr>
              <w:t xml:space="preserve">Longitude</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The Octagon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-45.87416727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170.50362164</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Otago Museum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-45.8656444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170.5107143</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Dunedin Public Art Gallery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-45.8743889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170.5029168</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Cadbury World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-45.8741696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170.507056</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Speight's Brewery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-45.8766733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170.5001358</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Larnach Castle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-45.8616221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170.6272188</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Taieri Gorge Railway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-45.8754049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170.5088746</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Penguin Place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-45.7962879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170.7309005</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Blue Penguins Pukekura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-45.77733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170.728546</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Dunedin Train Station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-45.8753385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170.5089075</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Botanical Garden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-45.85518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170.519062</w:t>
            </w:r>
          </w:p>
        </w:tc>
      </w:tr>
      <w:tr>
        <w:tc>
          <w:tcPr>
            <w:tcMar>
              <w:top w:w="100.0" w:type="dxa"/>
              <w:left w:w="100.0" w:type="dxa"/>
              <w:bottom w:w="100.0" w:type="dxa"/>
              <w:right w:w="100.0" w:type="dxa"/>
            </w:tcMar>
          </w:tcPr>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Olveston House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-45.8661128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170.5024612</w:t>
            </w:r>
          </w:p>
        </w:tc>
      </w:tr>
    </w:tbl>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color w:val="333333"/>
          <w:sz w:val="45"/>
          <w:szCs w:val="45"/>
          <w:highlight w:val="white"/>
        </w:rPr>
      </w:pPr>
      <w:r w:rsidDel="00000000" w:rsidR="00000000" w:rsidRPr="00000000">
        <w:rPr>
          <w:b w:val="1"/>
          <w:color w:val="333333"/>
          <w:sz w:val="24"/>
          <w:szCs w:val="24"/>
          <w:highlight w:val="white"/>
          <w:rtl w:val="0"/>
        </w:rPr>
        <w:t xml:space="preserve">Getting Around</w:t>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color w:val="333333"/>
          <w:sz w:val="24"/>
          <w:szCs w:val="24"/>
          <w:highlight w:val="white"/>
          <w:rtl w:val="0"/>
        </w:rPr>
        <w:t xml:space="preserve">By Shuttle: A shuttle bus usually runs from the dock to the Octagon in the city centre, about eight miles or a 15-minute drive. Allow 30 minutes for the journey. The road follows the bay, so you'll get a short sightseeing trip as well. Check the fare with your ship; some lines offer the service for free, but on our Holland America Line cruise, the cost was $15 per person roundtrip (paid in U.S. dollars to the ship). Taxis are also available at the dock.</w:t>
      </w:r>
    </w:p>
    <w:p w:rsidR="00000000" w:rsidDel="00000000" w:rsidP="00000000" w:rsidRDefault="00000000" w:rsidRPr="00000000">
      <w:pP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On Foot: Once in Dunedin, thanks to its compact size and clear layout, you will be able to cover the city center on foot. The Octagon is the heart and center of Dunedin, and many sights are within an easy walking distance of The Octagon, as are shops, grocery stores, a post office and the tourist information office, the i-Site.</w:t>
      </w:r>
    </w:p>
    <w:p w:rsidR="00000000" w:rsidDel="00000000" w:rsidP="00000000" w:rsidRDefault="00000000" w:rsidRPr="00000000">
      <w:pP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By Bus: Find bus and taxi services that depart from the Octagon to routes around the city.”</w:t>
      </w:r>
    </w:p>
    <w:p w:rsidR="00000000" w:rsidDel="00000000" w:rsidP="00000000" w:rsidRDefault="00000000" w:rsidRPr="00000000">
      <w:pP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