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2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310" w:lineRule="atLeast"/>
        <w:jc w:val="center"/>
        <w:textAlignment w:val="auto"/>
        <w:outlineLvl w:val="9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310" w:lineRule="atLeast"/>
        <w:jc w:val="center"/>
        <w:textAlignment w:val="auto"/>
        <w:outlineLvl w:val="9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 xml:space="preserve">first_Pro_Interval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>
      <w:pPr>
        <w:tabs>
          <w:tab w:val="left" w:pos="5460"/>
        </w:tabs>
        <w:autoSpaceDE w:val="0"/>
        <w:autoSpaceDN w:val="0"/>
        <w:spacing w:line="24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（测井项目： CBL/VDL）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240" w:lineRule="atLeast"/>
        <w:ind w:firstLine="3614" w:firstLineChars="1000"/>
        <w:textAlignment w:val="auto"/>
        <w:outlineLvl w:val="9"/>
        <w:rPr>
          <w:b/>
          <w:sz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sz w:val="32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rPr>
          <w:rFonts w:eastAsia="黑体"/>
          <w:sz w:val="32"/>
          <w:szCs w:val="44"/>
          <w:lang w:val="zh-CN"/>
        </w:rPr>
      </w:pPr>
      <w:r>
        <w:rPr>
          <w:rFonts w:eastAsia="黑体"/>
          <w:sz w:val="32"/>
          <w:szCs w:val="44"/>
          <w:lang w:val="zh-CN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7972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黑体" w:cs="Times New Roman"/>
          <w:kern w:val="2"/>
          <w:sz w:val="21"/>
          <w:szCs w:val="44"/>
          <w:lang w:val="zh-CN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0"/>
              <w:szCs w:val="36"/>
            </w:rPr>
          </w:pPr>
          <w:r>
            <w:rPr>
              <w:rFonts w:ascii="宋体" w:hAnsi="宋体" w:eastAsia="宋体"/>
              <w:sz w:val="40"/>
              <w:szCs w:val="36"/>
            </w:rPr>
            <w:t>目</w:t>
          </w:r>
          <w:r>
            <w:rPr>
              <w:rFonts w:hint="eastAsia" w:ascii="宋体" w:hAnsi="宋体"/>
              <w:sz w:val="40"/>
              <w:szCs w:val="36"/>
              <w:lang w:val="en-US" w:eastAsia="zh-CN"/>
            </w:rPr>
            <w:t xml:space="preserve">  </w:t>
          </w:r>
          <w:r>
            <w:rPr>
              <w:rFonts w:ascii="宋体" w:hAnsi="宋体" w:eastAsia="宋体"/>
              <w:sz w:val="40"/>
              <w:szCs w:val="36"/>
            </w:rPr>
            <w:t>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0"/>
              <w:szCs w:val="36"/>
            </w:rPr>
          </w:pPr>
        </w:p>
        <w:p>
          <w:pPr>
            <w:pStyle w:val="35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 w:val="32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32"/>
              <w:szCs w:val="44"/>
              <w:lang w:val="zh-CN"/>
            </w:rPr>
            <w:instrText xml:space="preserve">TOC \o "1-3" \h \u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 w:val="32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_Toc2720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32"/>
            </w:rPr>
            <w:t xml:space="preserve">一 </w:t>
          </w:r>
          <w:r>
            <w:rPr>
              <w:rFonts w:hint="default" w:ascii="Times New Roman" w:hAnsi="Times New Roman" w:eastAsia="黑体" w:cs="Times New Roman"/>
              <w:bCs w:val="0"/>
              <w:i w:val="0"/>
              <w:iCs w:val="0"/>
            </w:rPr>
            <w:t>测井及固井施工简况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</w:rPr>
            <w:instrText xml:space="preserve"> PAGEREF _Toc2720 </w:instrText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</w:rPr>
            <w:t>1</w:t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35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_Toc7460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32"/>
            </w:rPr>
            <w:t xml:space="preserve">二 </w:t>
          </w:r>
          <w:r>
            <w:rPr>
              <w:rFonts w:hint="default" w:ascii="Times New Roman" w:hAnsi="Times New Roman" w:eastAsia="黑体" w:cs="Times New Roman"/>
              <w:bCs w:val="0"/>
              <w:i w:val="0"/>
              <w:iCs w:val="0"/>
            </w:rPr>
            <w:t>固井质量测井评价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</w:rPr>
            <w:instrText xml:space="preserve"> PAGEREF _Toc7460 </w:instrText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</w:rPr>
            <w:t>2</w:t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_Toc18928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</w:rPr>
            <w:t>1．固井质量评价标准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</w:rPr>
            <w:instrText xml:space="preserve"> PAGEREF _Toc18928 </w:instrText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</w:rPr>
            <w:t>2</w:t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_Toc6961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</w:rPr>
            <w:t>2．固井质量测井评价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</w:rPr>
            <w:instrText xml:space="preserve"> PAGEREF _Toc6961 </w:instrText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</w:rPr>
            <w:t>2</w:t>
          </w:r>
          <w:r>
            <w:rPr>
              <w:rFonts w:hint="default" w:ascii="Times New Roman" w:hAnsi="Times New Roman" w:cs="Times New Roman"/>
              <w:i w:val="0"/>
              <w:iCs w:val="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_Toc21108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eastAsia="新宋体" w:cs="Times New Roman"/>
              <w:bCs/>
              <w:i w:val="0"/>
              <w:iCs w:val="0"/>
            </w:rPr>
            <w:t>（1）校深依据及水泥返高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instrText xml:space="preserve"> PAGEREF _Toc21108 </w:instrTex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t>3</w: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_Toc21964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eastAsia="新宋体" w:cs="Times New Roman"/>
              <w:bCs/>
              <w:i w:val="0"/>
              <w:iCs w:val="0"/>
              <w:szCs w:val="24"/>
            </w:rPr>
            <w:t>（2）特殊段固井质量综合解释评价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instrText xml:space="preserve"> PAGEREF _Toc21964 </w:instrTex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t>3</w: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_Toc4559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eastAsia="新宋体" w:cs="Times New Roman"/>
              <w:bCs/>
              <w:i w:val="0"/>
              <w:iCs w:val="0"/>
              <w:szCs w:val="24"/>
            </w:rPr>
            <w:t>（3）钻探目的层和兼探层上部固井评价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instrText xml:space="preserve"> PAGEREF _Toc4559 </w:instrTex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t>3</w: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_Toc1875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eastAsia="新宋体" w:cs="Times New Roman"/>
              <w:bCs/>
              <w:i w:val="0"/>
              <w:iCs w:val="0"/>
              <w:szCs w:val="24"/>
            </w:rPr>
            <w:t>（4）固井质量综合解释评价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instrText xml:space="preserve"> PAGEREF _Toc1875 </w:instrTex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t>4</w: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_Toc30477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lang w:val="en-US" w:eastAsia="zh-CN"/>
            </w:rPr>
            <w:t>3</w:t>
          </w:r>
          <w:r>
            <w:rPr>
              <w:rFonts w:hint="default" w:ascii="Times New Roman" w:hAnsi="Times New Roman" w:cs="Times New Roman"/>
              <w:i w:val="0"/>
              <w:iCs w:val="0"/>
            </w:rPr>
            <w:t>．储层测井解释表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instrText xml:space="preserve"> PAGEREF _Toc30477 </w:instrTex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t>4</w: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_Toc4160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</w:rPr>
            <w:t>4．固井质量统计及单层固井质量评价表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instrText xml:space="preserve"> PAGEREF _Toc4160 </w:instrTex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t>4</w: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_Toc16369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lang w:val="en-US" w:eastAsia="zh-CN"/>
            </w:rPr>
            <w:t>5</w:t>
          </w:r>
          <w:r>
            <w:rPr>
              <w:rFonts w:hint="default" w:ascii="Times New Roman" w:hAnsi="Times New Roman" w:cs="Times New Roman"/>
              <w:i w:val="0"/>
              <w:iCs w:val="0"/>
            </w:rPr>
            <w:t>．储层段固井质量分析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instrText xml:space="preserve"> PAGEREF _Toc16369 </w:instrTex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t>5</w: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35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instrText xml:space="preserve"> HYPERLINK \l _Toc25010 </w:instrTex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32"/>
              <w:lang w:val="en-US" w:eastAsia="zh-CN"/>
            </w:rPr>
            <w:t>三</w:t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32"/>
            </w:rPr>
            <w:t xml:space="preserve"> </w:t>
          </w:r>
          <w:r>
            <w:rPr>
              <w:rFonts w:hint="default" w:ascii="Times New Roman" w:hAnsi="Times New Roman" w:eastAsia="黑体" w:cs="Times New Roman"/>
              <w:bCs w:val="0"/>
              <w:i w:val="0"/>
              <w:iCs w:val="0"/>
              <w:lang w:val="en-US" w:eastAsia="zh-CN"/>
            </w:rPr>
            <w:t>建议及其它</w:t>
          </w:r>
          <w:r>
            <w:rPr>
              <w:rFonts w:hint="default" w:ascii="Times New Roman" w:hAnsi="Times New Roman" w:cs="Times New Roman"/>
              <w:i w:val="0"/>
              <w:iCs w:val="0"/>
            </w:rPr>
            <w:tab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begin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instrText xml:space="preserve"> PAGEREF _Toc25010 </w:instrTex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t>5</w:t>
          </w:r>
          <w:r>
            <w:rPr>
              <w:rFonts w:hint="default" w:ascii="Times New Roman" w:hAnsi="Times New Roman" w:cs="Times New Roman"/>
              <w:i w:val="0"/>
              <w:iCs w:val="0"/>
              <w:color w:val="FF0000"/>
            </w:rPr>
            <w:fldChar w:fldCharType="end"/>
          </w: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 w:val="0"/>
            <w:autoSpaceDN w:val="0"/>
            <w:bidi w:val="0"/>
            <w:adjustRightInd w:val="0"/>
            <w:spacing w:line="480" w:lineRule="auto"/>
            <w:jc w:val="center"/>
            <w:textAlignment w:val="auto"/>
            <w:rPr>
              <w:rFonts w:eastAsia="黑体"/>
              <w:sz w:val="32"/>
              <w:szCs w:val="44"/>
              <w:lang w:val="zh-CN"/>
            </w:rPr>
            <w:sectPr>
              <w:headerReference r:id="rId3" w:type="default"/>
              <w:pgSz w:w="11906" w:h="16838"/>
              <w:pgMar w:top="1418" w:right="1418" w:bottom="1418" w:left="1418" w:header="851" w:footer="992" w:gutter="0"/>
              <w:pgNumType w:start="1"/>
              <w:cols w:space="720" w:num="1"/>
              <w:docGrid w:linePitch="312" w:charSpace="0"/>
            </w:sectPr>
          </w:pPr>
          <w:r>
            <w:rPr>
              <w:rFonts w:hint="default" w:ascii="Times New Roman" w:hAnsi="Times New Roman" w:eastAsia="黑体" w:cs="Times New Roman"/>
              <w:i w:val="0"/>
              <w:iCs w:val="0"/>
              <w:szCs w:val="44"/>
              <w:lang w:val="zh-CN"/>
            </w:rPr>
            <w:fldChar w:fldCharType="end"/>
          </w:r>
        </w:p>
      </w:sdtContent>
    </w:sdt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77333768"/>
      <w:bookmarkStart w:id="5" w:name="_Toc2720"/>
      <w:bookmarkStart w:id="6" w:name="_Toc398370868"/>
      <w:bookmarkStart w:id="7" w:name="_Toc17205736"/>
      <w:bookmarkStart w:id="8" w:name="_Toc209971939"/>
      <w:bookmarkStart w:id="9" w:name="_Toc398370189"/>
      <w:bookmarkStart w:id="10" w:name="_Toc206923605"/>
      <w:bookmarkStart w:id="11" w:name="_Toc247593003"/>
      <w:bookmarkStart w:id="12" w:name="_Toc398371629"/>
      <w:bookmarkStart w:id="13" w:name="_Toc209966683"/>
      <w:bookmarkStart w:id="14" w:name="_Toc210125982"/>
      <w:bookmarkStart w:id="15" w:name="_Toc209860804"/>
      <w:bookmarkStart w:id="16" w:name="_Toc398370619"/>
      <w:bookmarkStart w:id="17" w:name="_Toc398371385"/>
      <w:bookmarkStart w:id="18" w:name="_Toc214507613"/>
      <w:bookmarkStart w:id="19" w:name="_Toc209808237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20" w:name="_Hlk33711200"/>
            <w:r>
              <w:rPr>
                <w:bCs/>
                <w:sz w:val="18"/>
                <w:szCs w:val="16"/>
              </w:rPr>
              <w:t>stru_Position</w:t>
            </w:r>
            <w:bookmarkEnd w:id="20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default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1" w:name="_Toc398371386"/>
      <w:bookmarkStart w:id="22" w:name="_Toc398370620"/>
      <w:bookmarkStart w:id="23" w:name="_Toc398371630"/>
      <w:bookmarkStart w:id="24" w:name="_Toc244332168"/>
      <w:bookmarkStart w:id="25" w:name="_Toc249174113"/>
      <w:bookmarkStart w:id="26" w:name="_Toc249176370"/>
      <w:bookmarkStart w:id="27" w:name="_Toc7460"/>
      <w:bookmarkStart w:id="28" w:name="_Toc398370869"/>
      <w:bookmarkStart w:id="29" w:name="_Toc398370190"/>
      <w:bookmarkStart w:id="30" w:name="_Toc206842801"/>
      <w:bookmarkStart w:id="31" w:name="_Toc248746782"/>
      <w:bookmarkStart w:id="32" w:name="_Toc17205737"/>
      <w:bookmarkStart w:id="33" w:name="OLE_LINK8"/>
      <w:bookmarkStart w:id="34" w:name="OLE_LINK10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bookmarkEnd w:id="33"/>
    <w:bookmarkEnd w:id="34"/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Cs/>
          <w:sz w:val="24"/>
        </w:rPr>
      </w:pPr>
      <w:bookmarkStart w:id="35" w:name="_Toc18928"/>
      <w:r>
        <w:rPr>
          <w:rFonts w:ascii="Times New Roman" w:hAnsi="Times New Roman" w:cs="Times New Roman"/>
          <w:b/>
          <w:sz w:val="28"/>
        </w:rPr>
        <w:t>1．固井质量评价标准</w:t>
      </w:r>
      <w:bookmarkEnd w:id="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</w:t>
      </w:r>
      <w:r>
        <w:rPr>
          <w:rFonts w:hint="eastAsia" w:cs="Times New Roman"/>
          <w:b/>
          <w:bCs/>
          <w:color w:val="auto"/>
          <w:sz w:val="24"/>
          <w:szCs w:val="24"/>
          <w:lang w:eastAsia="zh-CN"/>
        </w:rPr>
        <w:t>：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差（不合格）</w:t>
            </w:r>
          </w:p>
        </w:tc>
      </w:tr>
    </w:tbl>
    <w:p>
      <w:pPr>
        <w:pStyle w:val="2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Times New Roman" w:hAnsi="Times New Roman"/>
          <w:b/>
          <w:bCs/>
          <w:sz w:val="24"/>
        </w:rPr>
      </w:pPr>
    </w:p>
    <w:p>
      <w:pPr>
        <w:pStyle w:val="2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Cs/>
          <w:sz w:val="24"/>
        </w:rPr>
      </w:pPr>
      <w:r>
        <w:rPr>
          <w:rFonts w:hint="eastAsia" w:ascii="Times New Roman" w:hAnsi="Times New Roman"/>
          <w:b/>
          <w:bCs/>
          <w:sz w:val="24"/>
        </w:rPr>
        <w:t>套后声波成像类测井</w:t>
      </w:r>
      <w:r>
        <w:rPr>
          <w:rFonts w:ascii="Times New Roman" w:hAnsi="Times New Roman"/>
          <w:b/>
          <w:bCs/>
          <w:sz w:val="24"/>
        </w:rPr>
        <w:t>固井质量</w:t>
      </w:r>
      <w:r>
        <w:rPr>
          <w:rFonts w:hint="eastAsia" w:ascii="Times New Roman" w:hAnsi="Times New Roman"/>
          <w:b/>
          <w:bCs/>
          <w:sz w:val="24"/>
        </w:rPr>
        <w:t>评价</w:t>
      </w:r>
      <w:r>
        <w:rPr>
          <w:rFonts w:hint="eastAsia" w:ascii="Times New Roman" w:hAnsi="Times New Roman"/>
          <w:bCs/>
          <w:color w:val="000000"/>
          <w:sz w:val="24"/>
          <w:lang w:eastAsia="zh-CN"/>
        </w:rPr>
        <w:t>：</w:t>
      </w:r>
      <w:r>
        <w:rPr>
          <w:rFonts w:ascii="Times New Roman" w:hAnsi="Times New Roman"/>
          <w:bCs/>
          <w:color w:val="000000"/>
          <w:sz w:val="24"/>
        </w:rPr>
        <w:t>参照中国石油天然气集团有限公司企业标准中的《固井质量评价》（标准号：Q/SY01073-2020）中第5.3.4条</w:t>
      </w:r>
      <w:r>
        <w:rPr>
          <w:rFonts w:hint="eastAsia" w:ascii="Times New Roman" w:hAnsi="Times New Roman"/>
          <w:bCs/>
          <w:color w:val="000000"/>
          <w:sz w:val="24"/>
        </w:rPr>
        <w:t>款</w:t>
      </w:r>
      <w:r>
        <w:rPr>
          <w:rFonts w:ascii="Times New Roman" w:hAnsi="Times New Roman"/>
          <w:bCs/>
          <w:color w:val="000000"/>
          <w:sz w:val="24"/>
        </w:rPr>
        <w:t>进行解释评价。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bCs/>
          <w:sz w:val="24"/>
        </w:rPr>
      </w:pPr>
      <w:r>
        <w:rPr>
          <w:rFonts w:hint="eastAsia"/>
          <w:bCs/>
          <w:sz w:val="24"/>
        </w:rPr>
        <w:t>套后声波成像类测井评价固井质量</w:t>
      </w:r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5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0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测井结果</w:t>
            </w:r>
          </w:p>
        </w:tc>
        <w:tc>
          <w:tcPr>
            <w:tcW w:w="3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0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套管、地层间环空内基本为水泥、无窜槽，固体充填度大于或等于90%</w:t>
            </w:r>
          </w:p>
        </w:tc>
        <w:tc>
          <w:tcPr>
            <w:tcW w:w="3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0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分布纵向连通长度小于2m小窜槽，宽度小于20%圆周，但没有连通</w:t>
            </w:r>
          </w:p>
        </w:tc>
        <w:tc>
          <w:tcPr>
            <w:tcW w:w="3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0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有大于或等于2m的连续蓝色流体（窜槽），宽度大于20%圆周；或存在连通的微间隙</w:t>
            </w:r>
          </w:p>
        </w:tc>
        <w:tc>
          <w:tcPr>
            <w:tcW w:w="3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hint="eastAsia" w:cs="Times New Roman"/>
          <w:bCs/>
          <w:color w:val="auto"/>
          <w:sz w:val="24"/>
          <w:szCs w:val="24"/>
          <w:lang w:eastAsia="zh-CN"/>
        </w:rPr>
        <w:t>：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keepNext w:val="0"/>
        <w:keepLines w:val="0"/>
        <w:pageBreakBefore w:val="0"/>
        <w:widowControl w:val="0"/>
        <w:tabs>
          <w:tab w:val="center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Cs/>
          <w:sz w:val="24"/>
        </w:rPr>
      </w:pPr>
      <w:bookmarkStart w:id="36" w:name="_Toc6961"/>
      <w:r>
        <w:rPr>
          <w:rFonts w:ascii="Times New Roman" w:hAnsi="Times New Roman" w:cs="Times New Roman"/>
          <w:b/>
          <w:sz w:val="28"/>
        </w:rPr>
        <w:t>2．固井质量测井评价</w:t>
      </w:r>
      <w:bookmarkEnd w:id="36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[待确定]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bCs/>
          <w:color w:val="auto"/>
          <w:sz w:val="24"/>
          <w:szCs w:val="21"/>
        </w:rPr>
      </w:pPr>
      <w:bookmarkStart w:id="37" w:name="_Toc21108"/>
      <w:r>
        <w:rPr>
          <w:rFonts w:eastAsia="新宋体"/>
          <w:b/>
          <w:bCs/>
          <w:color w:val="auto"/>
          <w:sz w:val="24"/>
        </w:rPr>
        <w:t>（1）</w:t>
      </w:r>
      <w:r>
        <w:rPr>
          <w:rFonts w:hint="eastAsia" w:eastAsia="新宋体"/>
          <w:b/>
          <w:bCs/>
          <w:color w:val="auto"/>
          <w:sz w:val="24"/>
        </w:rPr>
        <w:t>校</w:t>
      </w:r>
      <w:r>
        <w:rPr>
          <w:rFonts w:eastAsia="新宋体"/>
          <w:b/>
          <w:bCs/>
          <w:color w:val="auto"/>
          <w:sz w:val="24"/>
        </w:rPr>
        <w:t>深依据及水泥返高</w:t>
      </w:r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bCs/>
          <w:color w:val="auto"/>
          <w:sz w:val="24"/>
          <w:szCs w:val="21"/>
        </w:rPr>
      </w:pPr>
      <w:r>
        <w:rPr>
          <w:bCs/>
          <w:color w:val="auto"/>
          <w:sz w:val="24"/>
          <w:szCs w:val="21"/>
        </w:rPr>
        <w:t>本次测井根据裸眼测井GR曲线较深；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[待确定]</w:t>
      </w:r>
    </w:p>
    <w:p>
      <w:pPr>
        <w:pStyle w:val="27"/>
        <w:spacing w:line="360" w:lineRule="auto"/>
        <w:ind w:firstLine="480" w:firstLineChars="200"/>
        <w:rPr>
          <w:bCs/>
          <w:color w:val="FF0000"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至</w:t>
      </w:r>
      <w:r>
        <w:rPr>
          <w:rFonts w:hint="eastAsia" w:ascii="Times New Roman" w:hAnsi="Times New Roman" w:cs="Times New Roman"/>
          <w:bCs/>
          <w:sz w:val="24"/>
        </w:rPr>
        <w:t>actual_Depth。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[待确定]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ascii="Times New Roman" w:hAnsi="Times New Roman"/>
          <w:color w:val="auto"/>
          <w:sz w:val="24"/>
        </w:rPr>
      </w:pPr>
      <w:bookmarkStart w:id="38" w:name="_Toc21964"/>
      <w:r>
        <w:rPr>
          <w:rFonts w:ascii="Times New Roman" w:hAnsi="Times New Roman" w:eastAsia="新宋体"/>
          <w:b/>
          <w:bCs/>
          <w:color w:val="auto"/>
          <w:sz w:val="24"/>
          <w:szCs w:val="24"/>
        </w:rPr>
        <w:t>（2）特殊段固井质量综合解释评价</w:t>
      </w:r>
      <w:bookmarkEnd w:id="38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70" w:firstLineChars="196"/>
        <w:textAlignment w:val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特殊段固井质量评价根据该处及以上25m环空范围内，固井水泥一、二界面胶结质量是否达到连续胶结中等及以上（见表1）。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bCs/>
          <w:color w:val="auto"/>
          <w:sz w:val="24"/>
        </w:rPr>
        <w:t>特殊段固井质量评价表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659"/>
        <w:gridCol w:w="1442"/>
        <w:gridCol w:w="3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805" w:type="dxa"/>
            <w:shd w:val="clear" w:color="auto" w:fill="auto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位置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第一界面</w:t>
            </w:r>
          </w:p>
        </w:tc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第二界面</w:t>
            </w:r>
          </w:p>
        </w:tc>
        <w:tc>
          <w:tcPr>
            <w:tcW w:w="3333" w:type="dxa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  <w:jc w:val="center"/>
        </w:trPr>
        <w:tc>
          <w:tcPr>
            <w:tcW w:w="1805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上层套管鞋</w:t>
            </w:r>
          </w:p>
        </w:tc>
        <w:tc>
          <w:tcPr>
            <w:tcW w:w="1659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[待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  <w:t>确定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1442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[待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  <w:t>确定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333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805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上层套管分级箍</w:t>
            </w:r>
          </w:p>
        </w:tc>
        <w:tc>
          <w:tcPr>
            <w:tcW w:w="1659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/</w:t>
            </w:r>
          </w:p>
        </w:tc>
        <w:tc>
          <w:tcPr>
            <w:tcW w:w="1442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/</w:t>
            </w:r>
          </w:p>
        </w:tc>
        <w:tc>
          <w:tcPr>
            <w:tcW w:w="3333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测量段无分级箍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[待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  <w:t>确定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805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尾管重合段</w:t>
            </w:r>
          </w:p>
        </w:tc>
        <w:tc>
          <w:tcPr>
            <w:tcW w:w="1659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/</w:t>
            </w:r>
          </w:p>
        </w:tc>
        <w:tc>
          <w:tcPr>
            <w:tcW w:w="1442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/</w:t>
            </w:r>
          </w:p>
        </w:tc>
        <w:tc>
          <w:tcPr>
            <w:tcW w:w="3333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测量段无尾管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[待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  <w:t>确定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805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trike w:val="0"/>
                <w:dstrike w:val="0"/>
                <w:color w:val="auto"/>
                <w:sz w:val="21"/>
                <w:szCs w:val="21"/>
              </w:rPr>
              <w:t>套管顶（井口）</w:t>
            </w:r>
          </w:p>
        </w:tc>
        <w:tc>
          <w:tcPr>
            <w:tcW w:w="1659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casing_head</w:t>
            </w:r>
          </w:p>
        </w:tc>
        <w:tc>
          <w:tcPr>
            <w:tcW w:w="1442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[待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  <w:t>确定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333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805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bCs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trike w:val="0"/>
                <w:dstrike w:val="0"/>
                <w:color w:val="auto"/>
                <w:sz w:val="21"/>
                <w:szCs w:val="21"/>
              </w:rPr>
              <w:t>套管底（套管鞋）</w:t>
            </w:r>
          </w:p>
        </w:tc>
        <w:tc>
          <w:tcPr>
            <w:tcW w:w="1659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casing_bottom</w:t>
            </w:r>
          </w:p>
        </w:tc>
        <w:tc>
          <w:tcPr>
            <w:tcW w:w="1442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[待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  <w:t>确定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333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  <w:jc w:val="center"/>
        </w:trPr>
        <w:tc>
          <w:tcPr>
            <w:tcW w:w="8239" w:type="dxa"/>
            <w:gridSpan w:val="4"/>
            <w:shd w:val="clear" w:color="auto" w:fill="auto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说明：好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有连续25m井段固井质量好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中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有连续25m井段固井质量中等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不确定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双层套管的第二界面评价为不确定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无连续25m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该处及以上没有连续25m井段固井质量好或中等</w:t>
            </w:r>
          </w:p>
        </w:tc>
      </w:tr>
    </w:tbl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right="31" w:rightChars="15"/>
        <w:textAlignment w:val="auto"/>
        <w:outlineLvl w:val="2"/>
        <w:rPr>
          <w:rFonts w:ascii="Times New Roman" w:hAnsi="Times New Roman"/>
          <w:bCs/>
          <w:color w:val="auto"/>
          <w:sz w:val="24"/>
        </w:rPr>
      </w:pPr>
      <w:bookmarkStart w:id="39" w:name="_Toc4559"/>
      <w:r>
        <w:rPr>
          <w:rFonts w:ascii="Times New Roman" w:hAnsi="Times New Roman" w:eastAsia="新宋体"/>
          <w:b/>
          <w:bCs/>
          <w:color w:val="auto"/>
          <w:sz w:val="24"/>
          <w:szCs w:val="24"/>
        </w:rPr>
        <w:t>（3）钻探</w:t>
      </w:r>
      <w:r>
        <w:rPr>
          <w:rFonts w:hint="eastAsia" w:ascii="Times New Roman" w:hAnsi="Times New Roman" w:eastAsia="新宋体"/>
          <w:b/>
          <w:bCs/>
          <w:color w:val="auto"/>
          <w:sz w:val="24"/>
          <w:szCs w:val="24"/>
        </w:rPr>
        <w:t>目的</w:t>
      </w:r>
      <w:r>
        <w:rPr>
          <w:rFonts w:ascii="Times New Roman" w:hAnsi="Times New Roman" w:eastAsia="新宋体"/>
          <w:b/>
          <w:bCs/>
          <w:color w:val="auto"/>
          <w:sz w:val="24"/>
          <w:szCs w:val="24"/>
        </w:rPr>
        <w:t>层和兼探层上部固井评价</w:t>
      </w:r>
      <w:bookmarkEnd w:id="39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31" w:rightChars="15" w:firstLine="480" w:firstLineChars="200"/>
        <w:textAlignment w:val="auto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根据地质设计</w:t>
      </w:r>
      <w:r>
        <w:rPr>
          <w:rFonts w:hint="eastAsia" w:ascii="Times New Roman" w:hAnsi="Times New Roman"/>
          <w:color w:val="auto"/>
          <w:sz w:val="24"/>
        </w:rPr>
        <w:t>，</w:t>
      </w:r>
      <w:r>
        <w:rPr>
          <w:rFonts w:ascii="Times New Roman" w:hAnsi="Times New Roman"/>
          <w:color w:val="auto"/>
          <w:sz w:val="24"/>
        </w:rPr>
        <w:t>钻探</w:t>
      </w:r>
      <w:r>
        <w:rPr>
          <w:rFonts w:hint="eastAsia" w:ascii="Times New Roman" w:hAnsi="Times New Roman"/>
          <w:color w:val="auto"/>
          <w:sz w:val="24"/>
        </w:rPr>
        <w:t>目的</w:t>
      </w:r>
      <w:r>
        <w:rPr>
          <w:rFonts w:ascii="Times New Roman" w:hAnsi="Times New Roman"/>
          <w:color w:val="auto"/>
          <w:sz w:val="24"/>
        </w:rPr>
        <w:t>层和兼探层上部是否存在25m及以上的固井水泥一、二界面胶结质量达到连续胶结中等及以上</w:t>
      </w:r>
      <w:r>
        <w:rPr>
          <w:rFonts w:hint="eastAsia" w:ascii="Times New Roman" w:hAnsi="Times New Roman"/>
          <w:color w:val="auto"/>
          <w:sz w:val="24"/>
        </w:rPr>
        <w:t>（</w:t>
      </w:r>
      <w:r>
        <w:rPr>
          <w:rFonts w:ascii="Times New Roman" w:hAnsi="Times New Roman"/>
          <w:color w:val="auto"/>
          <w:sz w:val="24"/>
        </w:rPr>
        <w:t>见表2</w:t>
      </w:r>
      <w:r>
        <w:rPr>
          <w:rFonts w:hint="eastAsia" w:ascii="Times New Roman" w:hAnsi="Times New Roman"/>
          <w:color w:val="auto"/>
          <w:sz w:val="24"/>
        </w:rPr>
        <w:t>）</w:t>
      </w:r>
      <w:r>
        <w:rPr>
          <w:rFonts w:ascii="Times New Roman" w:hAnsi="Times New Roman"/>
          <w:color w:val="auto"/>
          <w:sz w:val="24"/>
        </w:rPr>
        <w:t>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31" w:rightChars="15"/>
        <w:jc w:val="center"/>
        <w:textAlignment w:val="auto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 w:eastAsia="新宋体"/>
          <w:bCs/>
          <w:color w:val="auto"/>
          <w:sz w:val="24"/>
          <w:szCs w:val="24"/>
        </w:rPr>
        <w:t>目的</w:t>
      </w:r>
      <w:r>
        <w:rPr>
          <w:rFonts w:ascii="Times New Roman" w:hAnsi="Times New Roman" w:eastAsia="新宋体"/>
          <w:bCs/>
          <w:color w:val="auto"/>
          <w:sz w:val="24"/>
          <w:szCs w:val="24"/>
        </w:rPr>
        <w:t>层和兼探层上部</w:t>
      </w:r>
      <w:r>
        <w:rPr>
          <w:rFonts w:ascii="Times New Roman" w:hAnsi="Times New Roman"/>
          <w:color w:val="auto"/>
          <w:sz w:val="24"/>
        </w:rPr>
        <w:t>25m及以上</w:t>
      </w:r>
      <w:r>
        <w:rPr>
          <w:rFonts w:hint="eastAsia" w:ascii="Times New Roman" w:hAnsi="Times New Roman"/>
          <w:color w:val="auto"/>
          <w:sz w:val="24"/>
        </w:rPr>
        <w:t>井段</w:t>
      </w:r>
      <w:r>
        <w:rPr>
          <w:rFonts w:ascii="Times New Roman" w:hAnsi="Times New Roman"/>
          <w:bCs/>
          <w:color w:val="auto"/>
          <w:sz w:val="24"/>
        </w:rPr>
        <w:t>固井质量评价表       表2</w:t>
      </w:r>
    </w:p>
    <w:tbl>
      <w:tblPr>
        <w:tblStyle w:val="52"/>
        <w:tblW w:w="459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1045"/>
        <w:gridCol w:w="1324"/>
        <w:gridCol w:w="203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07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序号</w:t>
            </w:r>
          </w:p>
        </w:tc>
        <w:tc>
          <w:tcPr>
            <w:tcW w:w="626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性质</w:t>
            </w:r>
          </w:p>
        </w:tc>
        <w:tc>
          <w:tcPr>
            <w:tcW w:w="793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层</w:t>
            </w:r>
            <w:r>
              <w:rPr>
                <w:color w:val="auto"/>
                <w:sz w:val="21"/>
                <w:szCs w:val="21"/>
              </w:rPr>
              <w:t>位</w:t>
            </w:r>
          </w:p>
        </w:tc>
        <w:tc>
          <w:tcPr>
            <w:tcW w:w="1221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第一界面</w:t>
            </w:r>
          </w:p>
        </w:tc>
        <w:tc>
          <w:tcPr>
            <w:tcW w:w="1951" w:type="pct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color w:val="auto"/>
                <w:sz w:val="21"/>
                <w:szCs w:val="21"/>
              </w:rPr>
              <w:t>第二界面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07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626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目的层</w:t>
            </w:r>
          </w:p>
        </w:tc>
        <w:tc>
          <w:tcPr>
            <w:tcW w:w="793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[待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  <w:t>确定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1221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FF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[待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  <w:t>确定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195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FF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[待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  <w:t>确定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07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626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兼探层</w:t>
            </w:r>
          </w:p>
        </w:tc>
        <w:tc>
          <w:tcPr>
            <w:tcW w:w="793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[待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  <w:t>确定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1221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[待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  <w:t>确定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195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[待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  <w:t>确定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  <w:jc w:val="center"/>
        </w:trPr>
        <w:tc>
          <w:tcPr>
            <w:tcW w:w="5000" w:type="pct"/>
            <w:gridSpan w:val="5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备注：本井没有设计兼探层。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[待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  <w:t>确定</w:t>
            </w:r>
            <w:r>
              <w:rPr>
                <w:rFonts w:hint="eastAsia" w:ascii="Times New Roman" w:hAnsi="Times New Roman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  <w:jc w:val="center"/>
        </w:trPr>
        <w:tc>
          <w:tcPr>
            <w:tcW w:w="5000" w:type="pct"/>
            <w:gridSpan w:val="5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color w:val="auto"/>
                <w:sz w:val="21"/>
                <w:szCs w:val="21"/>
              </w:rPr>
              <w:t>说明：好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color w:val="auto"/>
                <w:sz w:val="21"/>
                <w:szCs w:val="21"/>
              </w:rPr>
              <w:t>有连续25m井段固井质量好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color w:val="auto"/>
                <w:sz w:val="21"/>
                <w:szCs w:val="21"/>
              </w:rPr>
              <w:t>中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color w:val="auto"/>
                <w:sz w:val="21"/>
                <w:szCs w:val="21"/>
              </w:rPr>
              <w:t>有连续25m井段固井质量中等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color w:val="auto"/>
                <w:sz w:val="21"/>
                <w:szCs w:val="21"/>
              </w:rPr>
              <w:t>不确定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color w:val="auto"/>
                <w:sz w:val="21"/>
                <w:szCs w:val="21"/>
              </w:rPr>
              <w:t>双层套管的第二界面评价为不确定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无连续25m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color w:val="auto"/>
                <w:sz w:val="21"/>
                <w:szCs w:val="21"/>
              </w:rPr>
              <w:t>该处及以上没有连续25m井段固井质量好或中等</w:t>
            </w:r>
          </w:p>
        </w:tc>
      </w:tr>
    </w:tbl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2"/>
        <w:rPr>
          <w:rFonts w:ascii="Times New Roman" w:hAnsi="Times New Roman" w:eastAsia="新宋体"/>
          <w:b/>
          <w:bCs/>
          <w:color w:val="auto"/>
          <w:sz w:val="24"/>
          <w:szCs w:val="24"/>
        </w:rPr>
      </w:pPr>
      <w:bookmarkStart w:id="40" w:name="_Toc1875"/>
      <w:r>
        <w:rPr>
          <w:rFonts w:ascii="Times New Roman" w:hAnsi="Times New Roman" w:eastAsia="新宋体"/>
          <w:b/>
          <w:bCs/>
          <w:color w:val="auto"/>
          <w:sz w:val="24"/>
          <w:szCs w:val="24"/>
        </w:rPr>
        <w:t>（4）固井质量综合解释评价</w:t>
      </w:r>
      <w:bookmarkEnd w:id="40"/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keepNext w:val="0"/>
        <w:keepLines w:val="0"/>
        <w:pageBreakBefore w:val="0"/>
        <w:widowControl w:val="0"/>
        <w:tabs>
          <w:tab w:val="center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Times New Roman" w:hAnsi="Times New Roman" w:cs="Times New Roman"/>
          <w:b/>
          <w:sz w:val="28"/>
        </w:rPr>
      </w:pPr>
      <w:bookmarkStart w:id="41" w:name="_Toc30477"/>
      <w:r>
        <w:rPr>
          <w:rFonts w:hint="eastAsia" w:ascii="Times New Roman" w:hAnsi="Times New Roman" w:cs="Times New Roman"/>
          <w:b/>
          <w:sz w:val="28"/>
          <w:lang w:val="en-US" w:eastAsia="zh-CN"/>
        </w:rPr>
        <w:t>3</w:t>
      </w:r>
      <w:r>
        <w:rPr>
          <w:rFonts w:ascii="Times New Roman" w:hAnsi="Times New Roman" w:cs="Times New Roman"/>
          <w:b/>
          <w:sz w:val="28"/>
        </w:rPr>
        <w:t>．</w:t>
      </w:r>
      <w:r>
        <w:rPr>
          <w:rFonts w:hint="eastAsia" w:ascii="Times New Roman" w:hAnsi="Times New Roman" w:cs="Times New Roman"/>
          <w:b/>
          <w:sz w:val="28"/>
        </w:rPr>
        <w:t>储层测井解释表</w:t>
      </w:r>
      <w:bookmarkEnd w:id="41"/>
    </w:p>
    <w:p>
      <w:pPr>
        <w:pStyle w:val="27"/>
        <w:numPr>
          <w:ilvl w:val="0"/>
          <w:numId w:val="0"/>
        </w:numPr>
        <w:spacing w:line="360" w:lineRule="auto"/>
        <w:ind w:left="0" w:leftChars="0" w:firstLine="420" w:firstLineChars="175"/>
        <w:rPr>
          <w:rFonts w:hint="eastAsia"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本次测量井段裸眼测井解释储层见表3</w:t>
      </w:r>
    </w:p>
    <w:p>
      <w:pPr>
        <w:pStyle w:val="27"/>
        <w:ind w:right="31" w:rightChars="15" w:firstLine="1920" w:firstLineChars="800"/>
        <w:rPr>
          <w:rFonts w:hint="eastAsia" w:ascii="Times New Roman" w:hAnsi="Times New Roman" w:eastAsia="宋体"/>
          <w:bCs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</w:t>
      </w:r>
      <w:r>
        <w:rPr>
          <w:rFonts w:hint="eastAsia" w:ascii="Times New Roman" w:hAnsi="Times New Roman"/>
          <w:sz w:val="24"/>
          <w:lang w:val="en-US" w:eastAsia="zh-CN"/>
        </w:rPr>
        <w:t>3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Cs/>
          <w:sz w:val="24"/>
        </w:rPr>
      </w:pPr>
      <w:bookmarkStart w:id="42" w:name="_Toc4160"/>
      <w:r>
        <w:rPr>
          <w:rFonts w:hint="eastAsia" w:ascii="Times New Roman" w:hAnsi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．</w:t>
      </w:r>
      <w:r>
        <w:rPr>
          <w:rFonts w:ascii="Times New Roman" w:hAnsi="Times New Roman"/>
          <w:b/>
          <w:sz w:val="28"/>
        </w:rPr>
        <w:t>固井质量统计及单层固井质量评价表</w:t>
      </w:r>
      <w:bookmarkEnd w:id="42"/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4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6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7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标     准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  度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比  例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0.00--</w:t>
            </w:r>
            <w:r>
              <w:rPr>
                <w:color w:val="FF0000"/>
                <w:sz w:val="21"/>
                <w:szCs w:val="21"/>
              </w:rPr>
              <w:t>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20.0--40.0</w:t>
            </w:r>
            <w:bookmarkStart w:id="45" w:name="_GoBack"/>
            <w:bookmarkEnd w:id="45"/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40.0</w:t>
            </w:r>
            <w:r>
              <w:rPr>
                <w:sz w:val="21"/>
                <w:szCs w:val="21"/>
              </w:rPr>
              <w:t>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  度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比  例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</w:rPr>
              <w:t>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6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7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/>
          <w:b/>
          <w:sz w:val="28"/>
        </w:rPr>
      </w:pPr>
      <w:bookmarkStart w:id="43" w:name="_Toc16369"/>
      <w:r>
        <w:rPr>
          <w:rFonts w:hint="eastAsia" w:ascii="Times New Roman" w:hAnsi="Times New Roman"/>
          <w:b/>
          <w:sz w:val="28"/>
          <w:lang w:val="en-US" w:eastAsia="zh-CN"/>
        </w:rPr>
        <w:t>5</w:t>
      </w:r>
      <w:r>
        <w:rPr>
          <w:rFonts w:ascii="Times New Roman" w:hAnsi="Times New Roman"/>
          <w:b/>
          <w:sz w:val="28"/>
        </w:rPr>
        <w:t>．储层段固井质量分析</w:t>
      </w:r>
      <w:bookmarkEnd w:id="43"/>
    </w:p>
    <w:p>
      <w:pPr>
        <w:pStyle w:val="27"/>
        <w:spacing w:line="160" w:lineRule="atLeast"/>
        <w:rPr>
          <w:rFonts w:ascii="Times New Roman" w:hAnsi="Times New Roman" w:cs="Times New Roman"/>
          <w:sz w:val="24"/>
        </w:rPr>
      </w:pPr>
    </w:p>
    <w:p>
      <w:pPr>
        <w:pStyle w:val="2"/>
        <w:widowControl/>
        <w:spacing w:before="240" w:after="240" w:line="500" w:lineRule="exact"/>
        <w:jc w:val="left"/>
        <w:rPr>
          <w:rFonts w:hint="default" w:eastAsia="黑体"/>
          <w:b w:val="0"/>
          <w:sz w:val="32"/>
          <w:szCs w:val="32"/>
          <w:lang w:val="en-US" w:eastAsia="zh-CN"/>
        </w:rPr>
      </w:pPr>
      <w:bookmarkStart w:id="44" w:name="_Toc25010"/>
      <w:r>
        <w:rPr>
          <w:rFonts w:hint="eastAsia" w:eastAsia="黑体"/>
          <w:b w:val="0"/>
          <w:sz w:val="32"/>
          <w:szCs w:val="32"/>
          <w:lang w:val="en-US" w:eastAsia="zh-CN"/>
        </w:rPr>
        <w:t>三</w:t>
      </w:r>
      <w:r>
        <w:rPr>
          <w:rFonts w:eastAsia="黑体"/>
          <w:b w:val="0"/>
          <w:sz w:val="32"/>
          <w:szCs w:val="32"/>
        </w:rPr>
        <w:t xml:space="preserve"> </w:t>
      </w:r>
      <w:r>
        <w:rPr>
          <w:rFonts w:hint="eastAsia" w:eastAsia="黑体"/>
          <w:bCs w:val="0"/>
          <w:sz w:val="32"/>
          <w:lang w:val="en-US" w:eastAsia="zh-CN"/>
        </w:rPr>
        <w:t>建议及其它</w:t>
      </w:r>
      <w:bookmarkEnd w:id="44"/>
    </w:p>
    <w:p>
      <w:pPr>
        <w:pStyle w:val="27"/>
        <w:spacing w:line="160" w:lineRule="atLeast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77C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5E20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1B4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11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43E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3CE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8E7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0214A4"/>
    <w:rsid w:val="027928FB"/>
    <w:rsid w:val="035500ED"/>
    <w:rsid w:val="03FF790A"/>
    <w:rsid w:val="054603FD"/>
    <w:rsid w:val="077A5EB5"/>
    <w:rsid w:val="09AD0111"/>
    <w:rsid w:val="0A7A3CFB"/>
    <w:rsid w:val="0B943886"/>
    <w:rsid w:val="0FE7112A"/>
    <w:rsid w:val="118F3F11"/>
    <w:rsid w:val="120100B8"/>
    <w:rsid w:val="121F6EEF"/>
    <w:rsid w:val="14874236"/>
    <w:rsid w:val="236D1548"/>
    <w:rsid w:val="24C32B3D"/>
    <w:rsid w:val="268F4175"/>
    <w:rsid w:val="270A41E9"/>
    <w:rsid w:val="2CDE16A5"/>
    <w:rsid w:val="2FA51D0A"/>
    <w:rsid w:val="32397EBC"/>
    <w:rsid w:val="32F85AAA"/>
    <w:rsid w:val="35095105"/>
    <w:rsid w:val="360A0D23"/>
    <w:rsid w:val="37850512"/>
    <w:rsid w:val="3A284550"/>
    <w:rsid w:val="3AF1717B"/>
    <w:rsid w:val="3CF42C0F"/>
    <w:rsid w:val="3D366DA6"/>
    <w:rsid w:val="407F66FF"/>
    <w:rsid w:val="40BA50B9"/>
    <w:rsid w:val="41F22BF9"/>
    <w:rsid w:val="431A7100"/>
    <w:rsid w:val="438121B7"/>
    <w:rsid w:val="439F512D"/>
    <w:rsid w:val="43B32003"/>
    <w:rsid w:val="44C56E0B"/>
    <w:rsid w:val="456A7624"/>
    <w:rsid w:val="4583075B"/>
    <w:rsid w:val="45CB2DE2"/>
    <w:rsid w:val="46537975"/>
    <w:rsid w:val="488C2D09"/>
    <w:rsid w:val="4B56475D"/>
    <w:rsid w:val="4DE1292A"/>
    <w:rsid w:val="50D11197"/>
    <w:rsid w:val="53561B30"/>
    <w:rsid w:val="53D816C5"/>
    <w:rsid w:val="58A9067D"/>
    <w:rsid w:val="5A5E486B"/>
    <w:rsid w:val="5B432981"/>
    <w:rsid w:val="5E256E34"/>
    <w:rsid w:val="626359FB"/>
    <w:rsid w:val="631E5BC2"/>
    <w:rsid w:val="670F780D"/>
    <w:rsid w:val="6F9E0212"/>
    <w:rsid w:val="70540816"/>
    <w:rsid w:val="716C7F85"/>
    <w:rsid w:val="719E4ED9"/>
    <w:rsid w:val="750D79DC"/>
    <w:rsid w:val="7666441B"/>
    <w:rsid w:val="766B383A"/>
    <w:rsid w:val="76AD2178"/>
    <w:rsid w:val="7BFA6B6F"/>
    <w:rsid w:val="7DA6780D"/>
    <w:rsid w:val="7E4F502A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5</Pages>
  <Words>1313</Words>
  <Characters>1682</Characters>
  <Lines>14</Lines>
  <Paragraphs>5</Paragraphs>
  <TotalTime>1</TotalTime>
  <ScaleCrop>false</ScaleCrop>
  <LinksUpToDate>false</LinksUpToDate>
  <CharactersWithSpaces>2990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2021-03-09T07:33:28Z</dcterms:modified>
  <dc:title>内部资料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