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52"/>
        </w:rPr>
      </w:pPr>
      <w:r>
        <w:rPr>
          <w:rFonts w:eastAsia="黑体"/>
          <w:b/>
          <w:sz w:val="52"/>
        </w:rPr>
        <w:t>well_Name井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固井水泥胶结测井评价报告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measure_from_Pro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tabs>
          <w:tab w:val="left" w:pos="5460"/>
        </w:tabs>
        <w:autoSpaceDE w:val="0"/>
        <w:autoSpaceDN w:val="0"/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5460"/>
        </w:tabs>
        <w:autoSpaceDE w:val="0"/>
        <w:autoSpaceDN w:val="0"/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（测井项目： CBL/VDL）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eastAsia="黑体"/>
          <w:sz w:val="32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240" w:lineRule="atLeast"/>
        <w:textAlignment w:val="auto"/>
        <w:outlineLvl w:val="9"/>
        <w:rPr>
          <w:b/>
          <w:sz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sz w:val="32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8"/>
          <w:szCs w:val="56"/>
        </w:rPr>
      </w:pPr>
      <w:r>
        <w:rPr>
          <w:b/>
          <w:sz w:val="28"/>
          <w:szCs w:val="56"/>
        </w:rPr>
        <w:t>中国石油集团测井有限公司西南分公司解释评价中心</w:t>
      </w:r>
    </w:p>
    <w:p>
      <w:pPr>
        <w:spacing w:line="360" w:lineRule="auto"/>
        <w:jc w:val="center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year年month月</w:t>
      </w:r>
      <w:r>
        <w:rPr>
          <w:rFonts w:hint="eastAsia"/>
          <w:b/>
          <w:bCs/>
          <w:sz w:val="24"/>
          <w:szCs w:val="24"/>
          <w:lang w:val="en-US" w:eastAsia="zh-CN"/>
        </w:rPr>
        <w:t>day日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measure_from_Pro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tabs>
          <w:tab w:val="left" w:pos="5460"/>
        </w:tabs>
        <w:autoSpaceDE w:val="0"/>
        <w:autoSpaceDN w:val="0"/>
        <w:spacing w:line="240" w:lineRule="atLeast"/>
        <w:jc w:val="center"/>
        <w:rPr>
          <w:b/>
          <w:sz w:val="28"/>
          <w:szCs w:val="28"/>
        </w:rPr>
      </w:pPr>
    </w:p>
    <w:p>
      <w:pPr>
        <w:tabs>
          <w:tab w:val="left" w:pos="5460"/>
        </w:tabs>
        <w:autoSpaceDE w:val="0"/>
        <w:autoSpaceDN w:val="0"/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（测井项目： CBL/VDL）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240" w:lineRule="atLeast"/>
        <w:ind w:firstLine="3614" w:firstLineChars="1000"/>
        <w:textAlignment w:val="auto"/>
        <w:outlineLvl w:val="9"/>
        <w:rPr>
          <w:b/>
          <w:sz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sz w:val="32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2166620</wp:posOffset>
            </wp:positionH>
            <wp:positionV relativeFrom="paragraph">
              <wp:posOffset>106045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8"/>
          <w:szCs w:val="56"/>
        </w:rPr>
      </w:pPr>
      <w:r>
        <w:rPr>
          <w:b/>
          <w:sz w:val="28"/>
          <w:szCs w:val="56"/>
        </w:rPr>
        <w:t>中国石油集团测井有限公司西南分公司解释评价中心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4"/>
          <w:szCs w:val="52"/>
        </w:rPr>
      </w:pPr>
    </w:p>
    <w:p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year年month月</w:t>
      </w:r>
      <w:r>
        <w:rPr>
          <w:rFonts w:hint="eastAsia"/>
          <w:b/>
          <w:bCs/>
          <w:sz w:val="24"/>
          <w:szCs w:val="24"/>
          <w:lang w:val="en-US" w:eastAsia="zh-CN"/>
        </w:rPr>
        <w:t>day日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  <w:sectPr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  <w:sectPr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797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黑体" w:cs="Times New Roman"/>
          <w:kern w:val="2"/>
          <w:sz w:val="21"/>
          <w:szCs w:val="44"/>
          <w:lang w:val="zh-C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0"/>
              <w:szCs w:val="36"/>
            </w:rPr>
          </w:pPr>
          <w:r>
            <w:rPr>
              <w:rFonts w:ascii="宋体" w:hAnsi="宋体" w:eastAsia="宋体"/>
              <w:sz w:val="40"/>
              <w:szCs w:val="36"/>
            </w:rPr>
            <w:t>目</w:t>
          </w:r>
          <w:r>
            <w:rPr>
              <w:rFonts w:hint="eastAsia" w:ascii="宋体" w:hAnsi="宋体"/>
              <w:sz w:val="40"/>
              <w:szCs w:val="36"/>
              <w:lang w:val="en-US" w:eastAsia="zh-CN"/>
            </w:rPr>
            <w:t xml:space="preserve">  </w:t>
          </w:r>
          <w:r>
            <w:rPr>
              <w:rFonts w:ascii="宋体" w:hAnsi="宋体" w:eastAsia="宋体"/>
              <w:sz w:val="40"/>
              <w:szCs w:val="36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0"/>
              <w:szCs w:val="36"/>
            </w:rPr>
          </w:pP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 w:val="32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32"/>
              <w:szCs w:val="44"/>
              <w:lang w:val="zh-CN"/>
            </w:rPr>
            <w:instrText xml:space="preserve">TOC \o "1-3" \h \u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32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_Toc2720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32"/>
            </w:rPr>
            <w:t xml:space="preserve">一 </w:t>
          </w:r>
          <w:r>
            <w:rPr>
              <w:rFonts w:hint="default" w:ascii="Times New Roman" w:hAnsi="Times New Roman" w:eastAsia="黑体" w:cs="Times New Roman"/>
              <w:bCs w:val="0"/>
              <w:i w:val="0"/>
              <w:iCs w:val="0"/>
            </w:rPr>
            <w:t>测井及固井施工简况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</w:rPr>
            <w:instrText xml:space="preserve"> PAGEREF _Toc2720 </w:instrTex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1</w: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_Toc7460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32"/>
            </w:rPr>
            <w:t xml:space="preserve">二 </w:t>
          </w:r>
          <w:r>
            <w:rPr>
              <w:rFonts w:hint="default" w:ascii="Times New Roman" w:hAnsi="Times New Roman" w:eastAsia="黑体" w:cs="Times New Roman"/>
              <w:bCs w:val="0"/>
              <w:i w:val="0"/>
              <w:iCs w:val="0"/>
            </w:rPr>
            <w:t>固井质量测井评价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</w:rPr>
            <w:instrText xml:space="preserve"> PAGEREF _Toc7460 </w:instrTex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2</w: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instrText xml:space="preserve"> HYPERLINK \l _Toc18928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>1．固井质量评价标准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instrText xml:space="preserve"> PAGEREF _Toc18928 </w:instrTex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>2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instrText xml:space="preserve"> HYPERLINK \l _Toc6961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>2．固井质量测井评价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instrText xml:space="preserve"> PAGEREF _Toc6961 </w:instrTex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>2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instrText xml:space="preserve"> HYPERLINK \l _Toc30477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  <w:lang w:val="en-US" w:eastAsia="zh-CN"/>
            </w:rPr>
            <w:t>3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>．储层测井解释表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instrText xml:space="preserve"> PAGEREF _Toc30477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t>4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instrText xml:space="preserve"> HYPERLINK \l _Toc4160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>4．固井质量统计及单层固井质量评价表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instrText xml:space="preserve"> PAGEREF _Toc4160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t>4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instrText xml:space="preserve"> HYPERLINK \l _Toc16369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  <w:lang w:val="en-US" w:eastAsia="zh-CN"/>
            </w:rPr>
            <w:t>5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>．储层段固井质量分析</w:t>
          </w:r>
          <w:r>
            <w:rPr>
              <w:rFonts w:hint="default" w:ascii="Times New Roman" w:hAnsi="Times New Roman" w:cs="Times New Roman"/>
              <w:i w:val="0"/>
              <w:iCs w:val="0"/>
              <w:sz w:val="20"/>
              <w:szCs w:val="2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instrText xml:space="preserve"> PAGEREF _Toc16369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t>5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  <w:sz w:val="20"/>
              <w:szCs w:val="2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20"/>
              <w:szCs w:val="20"/>
              <w:lang w:val="zh-CN"/>
            </w:rPr>
            <w:fldChar w:fldCharType="end"/>
          </w: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_Toc25010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32"/>
              <w:lang w:val="en-US" w:eastAsia="zh-CN"/>
            </w:rPr>
            <w:t>三</w: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32"/>
            </w:rPr>
            <w:t xml:space="preserve"> </w:t>
          </w:r>
          <w:r>
            <w:rPr>
              <w:rFonts w:hint="default" w:ascii="Times New Roman" w:hAnsi="Times New Roman" w:eastAsia="黑体" w:cs="Times New Roman"/>
              <w:bCs w:val="0"/>
              <w:i w:val="0"/>
              <w:iCs w:val="0"/>
              <w:lang w:val="en-US" w:eastAsia="zh-CN"/>
            </w:rPr>
            <w:t>建议及其它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_Toc25010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5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 w:val="0"/>
            <w:autoSpaceDN w:val="0"/>
            <w:bidi w:val="0"/>
            <w:adjustRightInd w:val="0"/>
            <w:spacing w:line="480" w:lineRule="auto"/>
            <w:jc w:val="center"/>
            <w:textAlignment w:val="auto"/>
            <w:rPr>
              <w:rFonts w:eastAsia="黑体"/>
              <w:sz w:val="32"/>
              <w:szCs w:val="44"/>
              <w:lang w:val="zh-CN"/>
            </w:rPr>
            <w:sectPr>
              <w:type w:val="continuous"/>
              <w:pgSz w:w="11906" w:h="16838"/>
              <w:pgMar w:top="1418" w:right="1418" w:bottom="1418" w:left="1418" w:header="851" w:footer="992" w:gutter="0"/>
              <w:pgNumType w:start="1"/>
              <w:cols w:space="720" w:num="1"/>
              <w:docGrid w:linePitch="312" w:charSpace="0"/>
            </w:sect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</w:sdtContent>
    </w:sdt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6923605"/>
      <w:bookmarkStart w:id="5" w:name="_Toc209808237"/>
      <w:bookmarkStart w:id="6" w:name="_Toc2720"/>
      <w:bookmarkStart w:id="7" w:name="_Toc398370189"/>
      <w:bookmarkStart w:id="8" w:name="_Toc209966683"/>
      <w:bookmarkStart w:id="9" w:name="_Toc247593003"/>
      <w:bookmarkStart w:id="10" w:name="_Toc210125982"/>
      <w:bookmarkStart w:id="11" w:name="_Toc214507613"/>
      <w:bookmarkStart w:id="12" w:name="_Toc398370619"/>
      <w:bookmarkStart w:id="13" w:name="_Toc277333768"/>
      <w:bookmarkStart w:id="14" w:name="_Toc398371385"/>
      <w:bookmarkStart w:id="15" w:name="_Toc398371629"/>
      <w:bookmarkStart w:id="16" w:name="_Toc17205736"/>
      <w:bookmarkStart w:id="17" w:name="_Toc209860804"/>
      <w:bookmarkStart w:id="18" w:name="_Toc398370868"/>
      <w:bookmarkStart w:id="19" w:name="_Toc209971939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20" w:name="_Hlk33711200"/>
            <w:r>
              <w:rPr>
                <w:bCs/>
                <w:sz w:val="18"/>
                <w:szCs w:val="16"/>
              </w:rPr>
              <w:t>stru_Position</w:t>
            </w:r>
            <w:bookmarkEnd w:id="20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cement_End_Date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measure_from_Pro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measure_from_Pro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1" w:name="_Toc398370869"/>
      <w:bookmarkStart w:id="22" w:name="_Toc7460"/>
      <w:bookmarkStart w:id="23" w:name="_Toc249176370"/>
      <w:bookmarkStart w:id="24" w:name="_Toc249174113"/>
      <w:bookmarkStart w:id="25" w:name="_Toc17205737"/>
      <w:bookmarkStart w:id="26" w:name="_Toc398370620"/>
      <w:bookmarkStart w:id="27" w:name="_Toc398370190"/>
      <w:bookmarkStart w:id="28" w:name="_Toc248746782"/>
      <w:bookmarkStart w:id="29" w:name="_Toc398371386"/>
      <w:bookmarkStart w:id="30" w:name="_Toc398371630"/>
      <w:bookmarkStart w:id="31" w:name="_Toc244332168"/>
      <w:bookmarkStart w:id="32" w:name="_Toc206842801"/>
      <w:bookmarkStart w:id="33" w:name="OLE_LINK10"/>
      <w:bookmarkStart w:id="34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bookmarkEnd w:id="33"/>
    <w:bookmarkEnd w:id="34"/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35" w:name="_Toc18928"/>
      <w:r>
        <w:rPr>
          <w:rFonts w:ascii="Times New Roman" w:hAnsi="Times New Roman" w:cs="Times New Roman"/>
          <w:b/>
          <w:sz w:val="28"/>
        </w:rPr>
        <w:t>1．固井质量评价标准</w:t>
      </w:r>
      <w:bookmarkEnd w:id="35"/>
    </w:p>
    <w:p>
      <w:pPr>
        <w:pStyle w:val="27"/>
        <w:spacing w:line="360" w:lineRule="auto"/>
        <w:ind w:firstLine="482" w:firstLineChars="200"/>
        <w:rPr>
          <w:rFonts w:hint="eastAsia" w:ascii="Times New Roman" w:hAnsi="Times New Roman"/>
          <w:bCs/>
          <w:sz w:val="24"/>
        </w:rPr>
      </w:pPr>
      <w:bookmarkStart w:id="36" w:name="_Toc6961"/>
      <w:r>
        <w:rPr>
          <w:rFonts w:ascii="Times New Roman" w:hAnsi="Times New Roman"/>
          <w:b/>
          <w:bCs/>
          <w:sz w:val="24"/>
        </w:rPr>
        <w:t>固井质量评价指标:</w:t>
      </w:r>
      <w:r>
        <w:rPr>
          <w:rFonts w:ascii="Times New Roman" w:hAnsi="Times New Roman"/>
          <w:bCs/>
          <w:sz w:val="24"/>
        </w:rPr>
        <w:t xml:space="preserve"> 参照中国石油天然气集团有限公司企业标准中的《固井质量评价》（标准号：Q/SY01073-2020）进行固井质量解释评价。</w:t>
      </w:r>
    </w:p>
    <w:p>
      <w:pPr>
        <w:pStyle w:val="27"/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第一界面</w:t>
      </w:r>
      <w:r>
        <w:rPr>
          <w:rFonts w:ascii="Times New Roman" w:hAnsi="Times New Roman"/>
          <w:bCs/>
          <w:sz w:val="24"/>
        </w:rPr>
        <w:t>采用相对声幅(CBL)幅度法定量评价标准</w:t>
      </w:r>
      <w:r>
        <w:rPr>
          <w:rFonts w:hint="eastAsia" w:ascii="Times New Roman" w:hAnsi="Times New Roman"/>
          <w:bCs/>
          <w:sz w:val="24"/>
        </w:rPr>
        <w:t>：</w:t>
      </w:r>
    </w:p>
    <w:p>
      <w:pPr>
        <w:spacing w:before="240" w:line="360" w:lineRule="auto"/>
        <w:ind w:firstLine="960" w:firstLineChars="400"/>
        <w:rPr>
          <w:rFonts w:hint="eastAsia"/>
          <w:bCs/>
          <w:sz w:val="24"/>
        </w:rPr>
      </w:pPr>
      <w:r>
        <w:rPr>
          <w:bCs/>
          <w:sz w:val="24"/>
        </w:rPr>
        <w:t>固井水泥胶结质量相对声幅</w:t>
      </w:r>
      <w:r>
        <w:rPr>
          <w:rFonts w:hint="eastAsia"/>
          <w:bCs/>
          <w:sz w:val="24"/>
        </w:rPr>
        <w:t>解释</w:t>
      </w:r>
      <w:r>
        <w:rPr>
          <w:bCs/>
          <w:sz w:val="24"/>
        </w:rPr>
        <w:t>标准表（水泥浆比重≥1.75g/cm</w:t>
      </w:r>
      <w:r>
        <w:rPr>
          <w:bCs/>
          <w:sz w:val="24"/>
          <w:vertAlign w:val="superscript"/>
        </w:rPr>
        <w:t>3</w:t>
      </w:r>
      <w:r>
        <w:rPr>
          <w:bCs/>
          <w:sz w:val="24"/>
        </w:rPr>
        <w:t>）</w:t>
      </w:r>
    </w:p>
    <w:tbl>
      <w:tblPr>
        <w:tblStyle w:val="52"/>
        <w:tblW w:w="71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543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CBL</w:t>
            </w:r>
          </w:p>
        </w:tc>
        <w:tc>
          <w:tcPr>
            <w:tcW w:w="361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543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CBL≤15%</w:t>
            </w:r>
          </w:p>
        </w:tc>
        <w:tc>
          <w:tcPr>
            <w:tcW w:w="361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543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15%＜CBL≤30%</w:t>
            </w:r>
          </w:p>
        </w:tc>
        <w:tc>
          <w:tcPr>
            <w:tcW w:w="361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543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CBL＞30%</w:t>
            </w:r>
          </w:p>
        </w:tc>
        <w:tc>
          <w:tcPr>
            <w:tcW w:w="361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差（不合格）</w:t>
            </w:r>
          </w:p>
        </w:tc>
      </w:tr>
    </w:tbl>
    <w:p>
      <w:pPr>
        <w:spacing w:before="240" w:line="360" w:lineRule="auto"/>
        <w:ind w:firstLine="960" w:firstLineChars="400"/>
        <w:rPr>
          <w:rFonts w:hint="eastAsia" w:eastAsia="宋体"/>
          <w:bCs/>
          <w:szCs w:val="21"/>
          <w:lang w:val="en-US" w:eastAsia="zh-CN"/>
        </w:rPr>
      </w:pPr>
      <w:r>
        <w:rPr>
          <w:bCs/>
          <w:sz w:val="24"/>
        </w:rPr>
        <w:t>固井水泥胶结质量相对声幅</w:t>
      </w:r>
      <w:r>
        <w:rPr>
          <w:rFonts w:hint="eastAsia"/>
          <w:bCs/>
          <w:sz w:val="24"/>
        </w:rPr>
        <w:t>解释</w:t>
      </w:r>
      <w:r>
        <w:rPr>
          <w:bCs/>
          <w:sz w:val="24"/>
        </w:rPr>
        <w:t>标准表（水泥浆比重＜1.75g/cm</w:t>
      </w:r>
      <w:r>
        <w:rPr>
          <w:bCs/>
          <w:sz w:val="24"/>
          <w:vertAlign w:val="superscript"/>
        </w:rPr>
        <w:t>3</w:t>
      </w:r>
      <w:r>
        <w:rPr>
          <w:rFonts w:hint="eastAsia"/>
          <w:bCs/>
          <w:sz w:val="24"/>
          <w:lang w:val="en-US" w:eastAsia="zh-CN"/>
        </w:rPr>
        <w:t>)</w:t>
      </w:r>
    </w:p>
    <w:tbl>
      <w:tblPr>
        <w:tblStyle w:val="52"/>
        <w:tblW w:w="72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3573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CBL</w:t>
            </w:r>
          </w:p>
        </w:tc>
        <w:tc>
          <w:tcPr>
            <w:tcW w:w="364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3573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CBL≤20%</w:t>
            </w:r>
          </w:p>
        </w:tc>
        <w:tc>
          <w:tcPr>
            <w:tcW w:w="364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3573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20%＜CBL≤40%</w:t>
            </w:r>
          </w:p>
        </w:tc>
        <w:tc>
          <w:tcPr>
            <w:tcW w:w="364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3573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CBL＞40%</w:t>
            </w:r>
          </w:p>
        </w:tc>
        <w:tc>
          <w:tcPr>
            <w:tcW w:w="364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差（不合格）</w:t>
            </w:r>
          </w:p>
        </w:tc>
      </w:tr>
    </w:tbl>
    <w:p>
      <w:pPr>
        <w:pStyle w:val="27"/>
        <w:spacing w:before="312" w:beforeLines="100" w:line="360" w:lineRule="auto"/>
        <w:rPr>
          <w:rFonts w:hint="eastAsia"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第</w:t>
      </w:r>
      <w:r>
        <w:rPr>
          <w:rFonts w:hint="eastAsia" w:ascii="Times New Roman" w:hAnsi="Times New Roman"/>
          <w:b/>
          <w:bCs/>
          <w:sz w:val="24"/>
        </w:rPr>
        <w:t>二</w:t>
      </w:r>
      <w:r>
        <w:rPr>
          <w:rFonts w:ascii="Times New Roman" w:hAnsi="Times New Roman"/>
          <w:b/>
          <w:bCs/>
          <w:sz w:val="24"/>
        </w:rPr>
        <w:t>界面</w:t>
      </w:r>
      <w:r>
        <w:rPr>
          <w:rFonts w:ascii="Times New Roman" w:hAnsi="Times New Roman"/>
          <w:bCs/>
          <w:sz w:val="24"/>
        </w:rPr>
        <w:t>采用</w:t>
      </w:r>
      <w:r>
        <w:rPr>
          <w:rFonts w:hint="eastAsia" w:ascii="Times New Roman" w:hAnsi="Times New Roman"/>
          <w:bCs/>
          <w:sz w:val="24"/>
        </w:rPr>
        <w:t>胶结</w:t>
      </w:r>
      <w:r>
        <w:rPr>
          <w:rFonts w:ascii="Times New Roman" w:hAnsi="Times New Roman"/>
          <w:bCs/>
          <w:sz w:val="24"/>
        </w:rPr>
        <w:t>比(</w:t>
      </w:r>
      <w:r>
        <w:rPr>
          <w:rFonts w:hint="eastAsia" w:ascii="Times New Roman" w:hAnsi="Times New Roman"/>
          <w:bCs/>
          <w:sz w:val="24"/>
        </w:rPr>
        <w:t>BR</w:t>
      </w:r>
      <w:r>
        <w:rPr>
          <w:rFonts w:ascii="Times New Roman" w:hAnsi="Times New Roman"/>
          <w:bCs/>
          <w:sz w:val="24"/>
        </w:rPr>
        <w:t>)指数定量评价和常规变密度水泥固井</w:t>
      </w:r>
      <w:r>
        <w:rPr>
          <w:rFonts w:hint="eastAsia" w:ascii="Times New Roman" w:hAnsi="Times New Roman"/>
          <w:bCs/>
          <w:sz w:val="24"/>
        </w:rPr>
        <w:t>VDL定性评价相结合的综合解释评价</w:t>
      </w:r>
      <w:r>
        <w:rPr>
          <w:rFonts w:ascii="Times New Roman" w:hAnsi="Times New Roman"/>
          <w:bCs/>
          <w:sz w:val="24"/>
        </w:rPr>
        <w:t>标准</w:t>
      </w:r>
      <w:r>
        <w:rPr>
          <w:rFonts w:hint="eastAsia" w:ascii="Times New Roman" w:hAnsi="Times New Roman"/>
          <w:bCs/>
          <w:sz w:val="24"/>
        </w:rPr>
        <w:t>：</w:t>
      </w:r>
    </w:p>
    <w:p>
      <w:pPr>
        <w:pStyle w:val="27"/>
        <w:spacing w:before="312" w:beforeLines="100" w:line="360" w:lineRule="auto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  <w:szCs w:val="24"/>
        </w:rPr>
        <w:t>固井</w:t>
      </w:r>
      <w:r>
        <w:rPr>
          <w:rFonts w:ascii="Times New Roman" w:hAnsi="Times New Roman"/>
          <w:bCs/>
          <w:sz w:val="24"/>
          <w:szCs w:val="24"/>
        </w:rPr>
        <w:t>水泥胶结质量</w:t>
      </w:r>
      <w:r>
        <w:rPr>
          <w:rFonts w:hint="eastAsia" w:ascii="Times New Roman" w:hAnsi="Times New Roman"/>
          <w:bCs/>
          <w:sz w:val="24"/>
          <w:szCs w:val="24"/>
        </w:rPr>
        <w:t>胶结比指数解释</w:t>
      </w:r>
      <w:r>
        <w:rPr>
          <w:rFonts w:ascii="Times New Roman" w:hAnsi="Times New Roman"/>
          <w:bCs/>
          <w:sz w:val="24"/>
          <w:szCs w:val="24"/>
        </w:rPr>
        <w:t>标准表</w:t>
      </w:r>
    </w:p>
    <w:tbl>
      <w:tblPr>
        <w:tblStyle w:val="52"/>
        <w:tblW w:w="74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1"/>
        <w:gridCol w:w="3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3701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BR2</w:t>
            </w:r>
          </w:p>
        </w:tc>
        <w:tc>
          <w:tcPr>
            <w:tcW w:w="3778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3701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BR2≥0.8</w:t>
            </w:r>
          </w:p>
        </w:tc>
        <w:tc>
          <w:tcPr>
            <w:tcW w:w="3778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3701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0.5≤BR2＜0.8</w:t>
            </w:r>
          </w:p>
        </w:tc>
        <w:tc>
          <w:tcPr>
            <w:tcW w:w="3778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3701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BR2＜0.5</w:t>
            </w:r>
          </w:p>
        </w:tc>
        <w:tc>
          <w:tcPr>
            <w:tcW w:w="3778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差（不合格）</w:t>
            </w:r>
          </w:p>
        </w:tc>
      </w:tr>
    </w:tbl>
    <w:p>
      <w:pPr>
        <w:pStyle w:val="27"/>
        <w:spacing w:before="312" w:beforeLines="100" w:line="360" w:lineRule="auto"/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drawing>
          <wp:inline distT="0" distB="0" distL="114300" distR="114300">
            <wp:extent cx="5271135" cy="2693035"/>
            <wp:effectExtent l="0" t="0" r="571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pacing w:before="312" w:beforeLines="100" w:line="360" w:lineRule="auto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sz w:val="24"/>
        </w:rPr>
        <w:t>套后声波成像类测井固井质量评价</w:t>
      </w:r>
      <w:r>
        <w:rPr>
          <w:rFonts w:ascii="Times New Roman" w:hAnsi="Times New Roman"/>
          <w:bCs/>
          <w:color w:val="000000"/>
          <w:sz w:val="24"/>
        </w:rPr>
        <w:t>参照企业标准中第5.3.4条款进行解释评价。</w:t>
      </w:r>
    </w:p>
    <w:p>
      <w:pPr>
        <w:spacing w:line="360" w:lineRule="auto"/>
        <w:ind w:firstLine="480" w:firstLineChars="200"/>
        <w:jc w:val="center"/>
        <w:rPr>
          <w:bCs/>
          <w:sz w:val="24"/>
        </w:rPr>
      </w:pPr>
      <w:r>
        <w:rPr>
          <w:bCs/>
          <w:sz w:val="24"/>
        </w:rPr>
        <w:t>套后声波成像类测井评价固井质量</w:t>
      </w:r>
    </w:p>
    <w:tbl>
      <w:tblPr>
        <w:tblStyle w:val="52"/>
        <w:tblW w:w="84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062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测井结果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7062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套管、地层间环空内基本为水泥、无窜槽，固体充填度大于或等于90%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7062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分布纵向连通长度小于2m小窜槽，宽度小于20%圆周，但没有连通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exact"/>
          <w:jc w:val="center"/>
        </w:trPr>
        <w:tc>
          <w:tcPr>
            <w:tcW w:w="7062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有大于或等于2m的连续蓝色流体（窜槽），宽度大于20%圆周；或存在连通的微间隙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差（不合格）</w:t>
            </w:r>
          </w:p>
        </w:tc>
      </w:tr>
    </w:tbl>
    <w:p>
      <w:pPr>
        <w:spacing w:before="240" w:line="360" w:lineRule="auto"/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t>单次</w:t>
      </w:r>
      <w:r>
        <w:rPr>
          <w:b/>
          <w:bCs/>
          <w:sz w:val="24"/>
        </w:rPr>
        <w:t>固井质量合格率评价标准</w:t>
      </w:r>
      <w:r>
        <w:rPr>
          <w:bCs/>
          <w:sz w:val="24"/>
        </w:rPr>
        <w:t>参照</w:t>
      </w:r>
      <w:r>
        <w:rPr>
          <w:rFonts w:hint="eastAsia"/>
          <w:bCs/>
          <w:sz w:val="24"/>
        </w:rPr>
        <w:t>中国</w:t>
      </w:r>
      <w:r>
        <w:rPr>
          <w:bCs/>
          <w:sz w:val="24"/>
        </w:rPr>
        <w:t>石油天然气集团有限公司质安</w:t>
      </w:r>
      <w:r>
        <w:rPr>
          <w:rFonts w:hint="eastAsia"/>
          <w:bCs/>
          <w:sz w:val="24"/>
        </w:rPr>
        <w:t>[2020]3号文件《集团公司井身质量、固井质量不合格判断红线》</w:t>
      </w:r>
      <w:r>
        <w:rPr>
          <w:bCs/>
          <w:sz w:val="24"/>
        </w:rPr>
        <w:t>要求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全井固井水泥</w:t>
      </w:r>
      <w:r>
        <w:rPr>
          <w:rFonts w:hint="eastAsia"/>
          <w:bCs/>
          <w:sz w:val="24"/>
        </w:rPr>
        <w:t>环一、二界面</w:t>
      </w:r>
      <w:r>
        <w:rPr>
          <w:bCs/>
          <w:sz w:val="24"/>
        </w:rPr>
        <w:t>胶结</w:t>
      </w:r>
      <w:r>
        <w:rPr>
          <w:rFonts w:hint="eastAsia"/>
          <w:bCs/>
          <w:sz w:val="24"/>
        </w:rPr>
        <w:t>质量中等以上井段长度低于封固井段长度7</w:t>
      </w:r>
      <w:r>
        <w:rPr>
          <w:bCs/>
          <w:sz w:val="24"/>
        </w:rPr>
        <w:t>0%为</w:t>
      </w:r>
      <w:r>
        <w:rPr>
          <w:rFonts w:hint="eastAsia"/>
          <w:bCs/>
          <w:sz w:val="24"/>
        </w:rPr>
        <w:t>不</w:t>
      </w:r>
      <w:r>
        <w:rPr>
          <w:bCs/>
          <w:sz w:val="24"/>
        </w:rPr>
        <w:t>合格。</w:t>
      </w:r>
    </w:p>
    <w:p>
      <w:pPr>
        <w:spacing w:before="240" w:line="360" w:lineRule="auto"/>
        <w:rPr>
          <w:rFonts w:hint="eastAsia"/>
          <w:bCs/>
          <w:sz w:val="24"/>
        </w:rPr>
      </w:pPr>
      <w:r>
        <w:rPr>
          <w:rFonts w:eastAsia="新宋体"/>
          <w:b/>
          <w:bCs/>
          <w:color w:val="000000"/>
          <w:sz w:val="24"/>
        </w:rPr>
        <w:t>特殊固井段和储层段</w:t>
      </w:r>
      <w:r>
        <w:rPr>
          <w:b/>
          <w:bCs/>
          <w:sz w:val="24"/>
        </w:rPr>
        <w:t>评价标准</w:t>
      </w:r>
      <w:r>
        <w:rPr>
          <w:bCs/>
          <w:sz w:val="24"/>
        </w:rPr>
        <w:t>参照</w:t>
      </w:r>
      <w:r>
        <w:rPr>
          <w:rFonts w:hint="eastAsia"/>
          <w:bCs/>
          <w:sz w:val="24"/>
        </w:rPr>
        <w:t>中国</w:t>
      </w:r>
      <w:r>
        <w:rPr>
          <w:bCs/>
          <w:sz w:val="24"/>
        </w:rPr>
        <w:t>石油天然气集团有限公司质安</w:t>
      </w:r>
      <w:r>
        <w:rPr>
          <w:rFonts w:hint="eastAsia"/>
          <w:bCs/>
          <w:sz w:val="24"/>
        </w:rPr>
        <w:t>[2020]3号文件《集团公司井身质量、固井质量不合格判断红线》</w:t>
      </w:r>
      <w:r>
        <w:rPr>
          <w:bCs/>
          <w:sz w:val="24"/>
        </w:rPr>
        <w:t>要求执行</w:t>
      </w:r>
      <w:r>
        <w:rPr>
          <w:rFonts w:hint="eastAsia"/>
          <w:bCs/>
          <w:sz w:val="24"/>
        </w:rPr>
        <w:t>。</w:t>
      </w:r>
    </w:p>
    <w:p>
      <w:pPr>
        <w:spacing w:before="240" w:line="360" w:lineRule="auto"/>
        <w:rPr>
          <w:bCs/>
          <w:sz w:val="24"/>
        </w:rPr>
      </w:pPr>
      <w:r>
        <w:rPr>
          <w:rFonts w:hint="eastAsia"/>
          <w:b/>
          <w:bCs/>
          <w:sz w:val="24"/>
        </w:rPr>
        <w:t>综合解释评价</w:t>
      </w:r>
      <w:r>
        <w:rPr>
          <w:rFonts w:hint="eastAsia"/>
          <w:bCs/>
          <w:sz w:val="24"/>
        </w:rPr>
        <w:t>依据</w:t>
      </w:r>
      <w:r>
        <w:rPr>
          <w:bCs/>
          <w:sz w:val="24"/>
        </w:rPr>
        <w:t>企业标准中</w:t>
      </w:r>
      <w:r>
        <w:rPr>
          <w:rFonts w:hint="eastAsia"/>
          <w:bCs/>
          <w:sz w:val="24"/>
        </w:rPr>
        <w:t>第5.3.3.2条执行。</w:t>
      </w:r>
    </w:p>
    <w:p>
      <w:pPr>
        <w:spacing w:before="240" w:line="360" w:lineRule="auto"/>
        <w:rPr>
          <w:rFonts w:hint="eastAsia"/>
          <w:bCs/>
          <w:sz w:val="24"/>
        </w:rPr>
        <w:sectPr>
          <w:footerReference r:id="rId6" w:type="default"/>
          <w:pgSz w:w="11907" w:h="16840"/>
          <w:pgMar w:top="1418" w:right="1418" w:bottom="1418" w:left="1418" w:header="737" w:footer="992" w:gutter="0"/>
          <w:cols w:space="720" w:num="1"/>
          <w:docGrid w:linePitch="312" w:charSpace="0"/>
        </w:sectPr>
      </w:pP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bookmarkEnd w:id="36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sz w:val="24"/>
          <w:lang w:val="en-US" w:eastAsia="zh-CN"/>
        </w:rPr>
        <w:t>井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测井测量井段为</w:t>
      </w:r>
      <w:r>
        <w:rPr>
          <w:rFonts w:hint="eastAsia" w:ascii="Times New Roman" w:hAnsi="Times New Roman" w:cs="Times New Roman"/>
          <w:bCs/>
          <w:sz w:val="24"/>
        </w:rPr>
        <w:t>measure_from_Pro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m，</w:t>
      </w:r>
      <w:r>
        <w:rPr>
          <w:rFonts w:ascii="Times New Roman" w:hAnsi="Times New Roman" w:cs="Times New Roman"/>
          <w:bCs/>
          <w:sz w:val="24"/>
        </w:rPr>
        <w:t>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故</w:t>
      </w:r>
      <w:r>
        <w:rPr>
          <w:rFonts w:hint="eastAsia" w:ascii="Times New Roman" w:hAnsi="Times New Roman" w:cs="Times New Roman"/>
          <w:bCs/>
          <w:sz w:val="24"/>
        </w:rPr>
        <w:t>测井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解释</w:t>
      </w:r>
      <w:r>
        <w:rPr>
          <w:rFonts w:hint="eastAsia" w:ascii="Times New Roman" w:hAnsi="Times New Roman" w:cs="Times New Roman"/>
          <w:bCs/>
          <w:sz w:val="24"/>
        </w:rPr>
        <w:t>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为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适合从井口处理描述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sz w:val="24"/>
          <w:lang w:val="en-US" w:eastAsia="zh-CN"/>
        </w:rPr>
        <w:t>井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测井测量井段为</w:t>
      </w:r>
      <w:r>
        <w:rPr>
          <w:rFonts w:hint="eastAsia" w:ascii="Times New Roman" w:hAnsi="Times New Roman" w:cs="Times New Roman"/>
          <w:bCs/>
          <w:sz w:val="24"/>
        </w:rPr>
        <w:t>measure_from_Pro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m，</w:t>
      </w:r>
      <w:r>
        <w:rPr>
          <w:rFonts w:hint="eastAsia"/>
          <w:bCs/>
          <w:sz w:val="24"/>
        </w:rPr>
        <w:t>从悬挂处开始处理，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故</w:t>
      </w:r>
      <w:r>
        <w:rPr>
          <w:rFonts w:hint="eastAsia" w:ascii="Times New Roman" w:hAnsi="Times New Roman" w:cs="Times New Roman"/>
          <w:bCs/>
          <w:sz w:val="24"/>
        </w:rPr>
        <w:t>测井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解释</w:t>
      </w:r>
      <w:r>
        <w:rPr>
          <w:rFonts w:hint="eastAsia" w:ascii="Times New Roman" w:hAnsi="Times New Roman" w:cs="Times New Roman"/>
          <w:bCs/>
          <w:sz w:val="24"/>
        </w:rPr>
        <w:t>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为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适合悬挂描述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bCs/>
          <w:color w:val="auto"/>
          <w:sz w:val="24"/>
          <w:szCs w:val="21"/>
        </w:rPr>
      </w:pPr>
      <w:bookmarkStart w:id="37" w:name="_Toc21108"/>
      <w:r>
        <w:rPr>
          <w:rFonts w:eastAsia="新宋体"/>
          <w:b/>
          <w:bCs/>
          <w:color w:val="auto"/>
          <w:sz w:val="24"/>
        </w:rPr>
        <w:t>（1）</w:t>
      </w:r>
      <w:r>
        <w:rPr>
          <w:rFonts w:hint="eastAsia" w:eastAsia="新宋体"/>
          <w:b/>
          <w:bCs/>
          <w:color w:val="auto"/>
          <w:sz w:val="24"/>
        </w:rPr>
        <w:t>校</w:t>
      </w:r>
      <w:r>
        <w:rPr>
          <w:rFonts w:eastAsia="新宋体"/>
          <w:b/>
          <w:bCs/>
          <w:color w:val="auto"/>
          <w:sz w:val="24"/>
        </w:rPr>
        <w:t>深依据及水泥返高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bCs/>
          <w:sz w:val="24"/>
        </w:rPr>
      </w:pPr>
      <w:r>
        <w:rPr>
          <w:bCs/>
          <w:color w:val="auto"/>
          <w:sz w:val="24"/>
          <w:szCs w:val="21"/>
        </w:rPr>
        <w:t>本次测井根据裸眼测井GR曲线较深；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[待确定]</w:t>
      </w:r>
      <w:r>
        <w:rPr>
          <w:rFonts w:hint="eastAsia" w:ascii="Times New Roman" w:hAnsi="Times New Roman" w:cs="Times New Roman"/>
          <w:bCs/>
          <w:sz w:val="24"/>
        </w:rPr>
        <w:t>水泥设计返高为design_Depthm，水泥实际返高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至</w:t>
      </w:r>
      <w:r>
        <w:rPr>
          <w:rFonts w:hint="eastAsia" w:ascii="Times New Roman" w:hAnsi="Times New Roman" w:cs="Times New Roman"/>
          <w:bCs/>
          <w:sz w:val="24"/>
        </w:rPr>
        <w:t>actual_Depth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m</w:t>
      </w:r>
      <w:r>
        <w:rPr>
          <w:rFonts w:hint="eastAsia" w:ascii="Times New Roman" w:hAnsi="Times New Roman" w:cs="Times New Roman"/>
          <w:bCs/>
          <w:sz w:val="24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适合从井口处理描述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水泥设计返高为design_Depthm，水泥实际返高上塞顶部深度为actual_Depth</w:t>
      </w:r>
      <w:r>
        <w:rPr>
          <w:rFonts w:hint="eastAsia" w:ascii="Times New Roman" w:hAnsi="Times New Roman" w:cs="Times New Roman"/>
          <w:bCs/>
          <w:color w:val="FF0000"/>
          <w:sz w:val="24"/>
        </w:rPr>
        <w:t>m</w:t>
      </w:r>
      <w:r>
        <w:rPr>
          <w:rFonts w:hint="eastAsia" w:ascii="Times New Roman" w:hAnsi="Times New Roman" w:cs="Times New Roman"/>
          <w:bCs/>
          <w:sz w:val="24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适合悬挂描述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ascii="Times New Roman" w:hAnsi="Times New Roman"/>
          <w:color w:val="auto"/>
          <w:sz w:val="24"/>
        </w:rPr>
      </w:pPr>
      <w:bookmarkStart w:id="38" w:name="_Toc21964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（2）特殊段固井质量综合解释评价</w:t>
      </w:r>
      <w:bookmarkEnd w:id="38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70" w:firstLineChars="196"/>
        <w:textAlignment w:val="auto"/>
        <w:rPr>
          <w:rFonts w:hint="default" w:ascii="Times New Roman" w:hAnsi="Times New Roman"/>
          <w:color w:val="auto"/>
          <w:sz w:val="24"/>
          <w:lang w:val="en-US"/>
        </w:rPr>
      </w:pPr>
      <w:r>
        <w:rPr>
          <w:rFonts w:ascii="Times New Roman" w:hAnsi="Times New Roman"/>
          <w:color w:val="auto"/>
          <w:sz w:val="24"/>
        </w:rPr>
        <w:t>特殊段固井质量评价根据该处及以上25m环空范围内，固井水泥一、二界面胶结质量是否达到连续胶结中等及以上（见表1）。</w:t>
      </w:r>
      <w:r>
        <w:rPr>
          <w:rFonts w:hint="eastAsia" w:ascii="Times New Roman" w:hAnsi="Times New Roman" w:cs="Times New Roman"/>
          <w:bCs/>
          <w:strike w:val="0"/>
          <w:dstrike w:val="0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27"/>
        <w:spacing w:line="360" w:lineRule="auto"/>
        <w:jc w:val="center"/>
        <w:rPr>
          <w:rFonts w:ascii="Times New Roman" w:hAnsi="Times New Roman"/>
          <w:bCs/>
          <w:sz w:val="24"/>
        </w:rPr>
      </w:pPr>
      <w:bookmarkStart w:id="39" w:name="_Toc1875"/>
      <w:r>
        <w:rPr>
          <w:rFonts w:ascii="Times New Roman" w:hAnsi="Times New Roman"/>
          <w:bCs/>
          <w:sz w:val="24"/>
        </w:rPr>
        <w:t>特殊段固井质量评价表       表1</w:t>
      </w:r>
    </w:p>
    <w:tbl>
      <w:tblPr>
        <w:tblStyle w:val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296"/>
        <w:gridCol w:w="2142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位置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第一界面</w:t>
            </w:r>
          </w:p>
        </w:tc>
        <w:tc>
          <w:tcPr>
            <w:tcW w:w="2142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第二界面</w:t>
            </w:r>
          </w:p>
        </w:tc>
        <w:tc>
          <w:tcPr>
            <w:tcW w:w="2074" w:type="dxa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left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val="en-US" w:eastAsia="zh-CN"/>
              </w:rPr>
              <w:t>尾管重合段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hint="default"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liner_overlap_section</w:t>
            </w:r>
          </w:p>
        </w:tc>
        <w:tc>
          <w:tcPr>
            <w:tcW w:w="2142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val="en-US" w:eastAsia="zh-CN"/>
              </w:rPr>
              <w:t>不确定</w:t>
            </w:r>
          </w:p>
        </w:tc>
        <w:tc>
          <w:tcPr>
            <w:tcW w:w="2074" w:type="dxa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left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val="en-US" w:eastAsia="zh-CN"/>
              </w:rPr>
              <w:t>上层套管鞋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hint="default"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upper_casing_shoe</w:t>
            </w:r>
          </w:p>
        </w:tc>
        <w:tc>
          <w:tcPr>
            <w:tcW w:w="2142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val="en-US" w:eastAsia="zh-CN"/>
              </w:rPr>
              <w:t>不确定</w:t>
            </w:r>
          </w:p>
        </w:tc>
        <w:tc>
          <w:tcPr>
            <w:tcW w:w="2074" w:type="dxa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left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val="en-US" w:eastAsia="zh-CN"/>
              </w:rPr>
              <w:t>上层套管分级箍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/</w:t>
            </w:r>
          </w:p>
        </w:tc>
        <w:tc>
          <w:tcPr>
            <w:tcW w:w="2142" w:type="dxa"/>
            <w:shd w:val="clear" w:color="auto" w:fill="auto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/</w:t>
            </w:r>
          </w:p>
        </w:tc>
        <w:tc>
          <w:tcPr>
            <w:tcW w:w="2074" w:type="dxa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3" w:type="dxa"/>
            <w:gridSpan w:val="4"/>
            <w:shd w:val="clear" w:color="auto" w:fill="auto"/>
            <w:noWrap w:val="0"/>
            <w:vAlign w:val="center"/>
          </w:tcPr>
          <w:p>
            <w:pPr>
              <w:pStyle w:val="27"/>
              <w:jc w:val="left"/>
              <w:rPr>
                <w:rFonts w:ascii="Times New Roman" w:hAnsi="Times New Roman"/>
                <w:color w:val="auto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Cs w:val="21"/>
                <w:lang w:val="en-US" w:eastAsia="zh-CN"/>
              </w:rPr>
              <w:t>说明：</w:t>
            </w:r>
            <w:r>
              <w:rPr>
                <w:rFonts w:hint="eastAsia" w:ascii="Times New Roman" w:hAnsi="Times New Roman"/>
                <w:color w:val="auto"/>
                <w:szCs w:val="21"/>
                <w:lang w:val="en-US" w:eastAsia="zh-CN"/>
              </w:rPr>
              <w:t>合格</w:t>
            </w:r>
            <w:r>
              <w:rPr>
                <w:rFonts w:ascii="Times New Roman" w:hAnsi="Times New Roman"/>
                <w:color w:val="auto"/>
                <w:szCs w:val="21"/>
                <w:lang w:val="en-US" w:eastAsia="zh-CN"/>
              </w:rPr>
              <w:t>____该处及以上固井质量有连续25m</w:t>
            </w:r>
            <w:r>
              <w:rPr>
                <w:rFonts w:hint="eastAsia" w:ascii="Times New Roman" w:hAnsi="Times New Roman"/>
                <w:color w:val="auto"/>
                <w:szCs w:val="21"/>
                <w:lang w:val="en-US" w:eastAsia="zh-CN"/>
              </w:rPr>
              <w:t>中等及以上</w:t>
            </w:r>
          </w:p>
          <w:p>
            <w:pPr>
              <w:pStyle w:val="27"/>
              <w:ind w:firstLine="630" w:firstLineChars="300"/>
              <w:jc w:val="left"/>
              <w:rPr>
                <w:rFonts w:hint="eastAsia" w:ascii="Times New Roman" w:hAnsi="Times New Roman"/>
                <w:color w:val="auto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Cs w:val="21"/>
                <w:lang w:val="en-US" w:eastAsia="zh-CN"/>
              </w:rPr>
              <w:t>无连续25m____该处及以上固井质量没有连续25m</w:t>
            </w:r>
            <w:r>
              <w:rPr>
                <w:rFonts w:hint="eastAsia" w:ascii="Times New Roman" w:hAnsi="Times New Roman"/>
                <w:color w:val="auto"/>
                <w:szCs w:val="21"/>
                <w:lang w:val="en-US" w:eastAsia="zh-CN"/>
              </w:rPr>
              <w:t>中等及以上</w:t>
            </w:r>
          </w:p>
          <w:p>
            <w:pPr>
              <w:pStyle w:val="27"/>
              <w:ind w:firstLine="630" w:firstLineChars="300"/>
              <w:jc w:val="left"/>
              <w:rPr>
                <w:rFonts w:ascii="Times New Roman" w:hAnsi="Times New Roman"/>
                <w:color w:val="auto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Cs w:val="21"/>
                <w:lang w:val="en-US" w:eastAsia="zh-CN"/>
              </w:rPr>
              <w:t>不确定____双层套管的第二界面评价为不确定</w:t>
            </w:r>
          </w:p>
        </w:tc>
      </w:tr>
    </w:tbl>
    <w:p>
      <w:pPr>
        <w:spacing w:before="156" w:beforeLines="50" w:line="360" w:lineRule="auto"/>
        <w:ind w:firstLine="482" w:firstLineChars="200"/>
        <w:rPr>
          <w:bCs/>
          <w:color w:val="auto"/>
          <w:sz w:val="24"/>
        </w:rPr>
      </w:pPr>
      <w:r>
        <w:rPr>
          <w:rFonts w:eastAsia="新宋体"/>
          <w:b/>
          <w:bCs/>
          <w:color w:val="auto"/>
          <w:sz w:val="24"/>
        </w:rPr>
        <w:t>（3）钻探</w:t>
      </w:r>
      <w:r>
        <w:rPr>
          <w:rFonts w:hint="eastAsia" w:eastAsia="新宋体"/>
          <w:b/>
          <w:bCs/>
          <w:color w:val="auto"/>
          <w:sz w:val="24"/>
        </w:rPr>
        <w:t>目的</w:t>
      </w:r>
      <w:r>
        <w:rPr>
          <w:rFonts w:eastAsia="新宋体"/>
          <w:b/>
          <w:bCs/>
          <w:color w:val="auto"/>
          <w:sz w:val="24"/>
        </w:rPr>
        <w:t>层上部固井评价：</w:t>
      </w:r>
    </w:p>
    <w:p>
      <w:pPr>
        <w:pStyle w:val="27"/>
        <w:spacing w:line="360" w:lineRule="auto"/>
        <w:ind w:right="31" w:rightChars="15" w:firstLine="480" w:firstLineChars="20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根据地质设计</w:t>
      </w:r>
      <w:r>
        <w:rPr>
          <w:rFonts w:hint="eastAsia" w:ascii="Times New Roman" w:hAnsi="Times New Roman"/>
          <w:color w:val="auto"/>
          <w:sz w:val="24"/>
        </w:rPr>
        <w:t>，</w:t>
      </w:r>
      <w:r>
        <w:rPr>
          <w:rFonts w:ascii="Times New Roman" w:hAnsi="Times New Roman"/>
          <w:color w:val="auto"/>
          <w:sz w:val="24"/>
        </w:rPr>
        <w:t>钻探</w:t>
      </w:r>
      <w:r>
        <w:rPr>
          <w:rFonts w:hint="eastAsia" w:ascii="Times New Roman" w:hAnsi="Times New Roman"/>
          <w:color w:val="auto"/>
          <w:sz w:val="24"/>
        </w:rPr>
        <w:t>目的</w:t>
      </w:r>
      <w:r>
        <w:rPr>
          <w:rFonts w:ascii="Times New Roman" w:hAnsi="Times New Roman"/>
          <w:color w:val="auto"/>
          <w:sz w:val="24"/>
        </w:rPr>
        <w:t>层上部是否存在25m及以上的固井水泥一、二界面胶结质量达到连续胶结中等及以上（见表2）。</w:t>
      </w:r>
    </w:p>
    <w:p>
      <w:pPr>
        <w:pStyle w:val="27"/>
        <w:spacing w:line="360" w:lineRule="auto"/>
        <w:ind w:right="31" w:rightChars="15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储层段固井质量评价表       表2</w:t>
      </w:r>
    </w:p>
    <w:tbl>
      <w:tblPr>
        <w:tblStyle w:val="52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1"/>
        <w:gridCol w:w="1310"/>
        <w:gridCol w:w="2473"/>
        <w:gridCol w:w="2161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455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692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性质</w:t>
            </w:r>
          </w:p>
        </w:tc>
        <w:tc>
          <w:tcPr>
            <w:tcW w:w="1307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层</w:t>
            </w:r>
            <w:r>
              <w:rPr>
                <w:color w:val="auto"/>
                <w:sz w:val="24"/>
                <w:szCs w:val="24"/>
              </w:rPr>
              <w:t>位</w:t>
            </w:r>
          </w:p>
        </w:tc>
        <w:tc>
          <w:tcPr>
            <w:tcW w:w="1142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第一界面</w:t>
            </w:r>
          </w:p>
        </w:tc>
        <w:tc>
          <w:tcPr>
            <w:tcW w:w="1401" w:type="pct"/>
            <w:noWrap w:val="0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US" w:eastAsia="zh-CN"/>
              </w:rPr>
              <w:t>第二界面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5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692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目的层</w:t>
            </w:r>
          </w:p>
        </w:tc>
        <w:tc>
          <w:tcPr>
            <w:tcW w:w="1307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goal_layer_name</w:t>
            </w:r>
          </w:p>
        </w:tc>
        <w:tc>
          <w:tcPr>
            <w:tcW w:w="1142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goal_layer_first</w:t>
            </w:r>
          </w:p>
        </w:tc>
        <w:tc>
          <w:tcPr>
            <w:tcW w:w="1401" w:type="pct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goal_layer_second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000" w:type="pct"/>
            <w:gridSpan w:val="5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备注：</w:t>
            </w:r>
            <w:r>
              <w:rPr>
                <w:color w:val="FF0000"/>
                <w:sz w:val="24"/>
                <w:szCs w:val="24"/>
              </w:rPr>
              <w:t>本次测量</w:t>
            </w:r>
            <w:r>
              <w:rPr>
                <w:rFonts w:hint="eastAsia"/>
                <w:color w:val="FF0000"/>
                <w:sz w:val="24"/>
                <w:szCs w:val="24"/>
              </w:rPr>
              <w:t>未</w:t>
            </w:r>
            <w:r>
              <w:rPr>
                <w:color w:val="FF0000"/>
                <w:sz w:val="24"/>
                <w:szCs w:val="24"/>
              </w:rPr>
              <w:t>到目的层。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5000" w:type="pct"/>
            <w:gridSpan w:val="5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27"/>
              <w:rPr>
                <w:rFonts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lang w:val="en-US" w:eastAsia="zh-CN"/>
              </w:rPr>
              <w:t>说明：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合格</w:t>
            </w:r>
            <w:r>
              <w:rPr>
                <w:rFonts w:ascii="Times New Roman" w:hAnsi="Times New Roman"/>
                <w:szCs w:val="21"/>
                <w:lang w:val="en-US" w:eastAsia="zh-CN"/>
              </w:rPr>
              <w:t>____该处及以上固井质量有连续25m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中等及以上</w:t>
            </w:r>
          </w:p>
          <w:p>
            <w:pPr>
              <w:ind w:firstLine="630" w:firstLineChars="300"/>
              <w:rPr>
                <w:rFonts w:hint="eastAsia"/>
                <w:szCs w:val="21"/>
              </w:rPr>
            </w:pPr>
            <w:r>
              <w:rPr>
                <w:szCs w:val="21"/>
              </w:rPr>
              <w:t>无连续25m____该处及以上固井质量没有连续25m</w:t>
            </w:r>
            <w:r>
              <w:rPr>
                <w:rFonts w:hint="eastAsia"/>
                <w:szCs w:val="21"/>
              </w:rPr>
              <w:t>中等及以上</w:t>
            </w:r>
          </w:p>
          <w:p>
            <w:pPr>
              <w:ind w:firstLine="630" w:firstLineChars="300"/>
              <w:rPr>
                <w:szCs w:val="21"/>
              </w:rPr>
            </w:pPr>
            <w:r>
              <w:rPr>
                <w:szCs w:val="21"/>
              </w:rPr>
              <w:t>不确定____双层套管的第二界面评价为不确定</w:t>
            </w:r>
          </w:p>
        </w:tc>
      </w:tr>
    </w:tbl>
    <w:p>
      <w:pPr>
        <w:spacing w:line="440" w:lineRule="exact"/>
        <w:ind w:firstLine="482" w:firstLineChars="200"/>
        <w:rPr>
          <w:rFonts w:eastAsia="新宋体"/>
          <w:b/>
          <w:bCs/>
          <w:color w:val="000000"/>
          <w:sz w:val="24"/>
        </w:rPr>
      </w:pPr>
      <w:r>
        <w:rPr>
          <w:rFonts w:eastAsia="新宋体"/>
          <w:b/>
          <w:bCs/>
          <w:color w:val="000000"/>
          <w:sz w:val="24"/>
        </w:rPr>
        <w:t>（</w:t>
      </w:r>
      <w:r>
        <w:rPr>
          <w:rFonts w:hint="eastAsia" w:eastAsia="新宋体"/>
          <w:b/>
          <w:bCs/>
          <w:color w:val="000000"/>
          <w:sz w:val="24"/>
        </w:rPr>
        <w:t>4</w:t>
      </w:r>
      <w:r>
        <w:rPr>
          <w:rFonts w:eastAsia="新宋体"/>
          <w:b/>
          <w:bCs/>
          <w:color w:val="000000"/>
          <w:sz w:val="24"/>
        </w:rPr>
        <w:t>）</w:t>
      </w:r>
      <w:r>
        <w:rPr>
          <w:rFonts w:hint="eastAsia" w:eastAsia="新宋体"/>
          <w:b/>
          <w:bCs/>
          <w:color w:val="000000"/>
          <w:sz w:val="24"/>
        </w:rPr>
        <w:t>固井</w:t>
      </w:r>
      <w:r>
        <w:rPr>
          <w:rFonts w:eastAsia="新宋体"/>
          <w:b/>
          <w:bCs/>
          <w:color w:val="000000"/>
          <w:sz w:val="24"/>
        </w:rPr>
        <w:t>质量</w:t>
      </w:r>
      <w:r>
        <w:rPr>
          <w:rFonts w:hint="eastAsia" w:eastAsia="新宋体"/>
          <w:b/>
          <w:bCs/>
          <w:color w:val="000000"/>
          <w:sz w:val="24"/>
        </w:rPr>
        <w:t>定性</w:t>
      </w:r>
      <w:r>
        <w:rPr>
          <w:rFonts w:eastAsia="新宋体"/>
          <w:b/>
          <w:bCs/>
          <w:color w:val="000000"/>
          <w:sz w:val="24"/>
        </w:rPr>
        <w:t>解释描述：</w:t>
      </w:r>
    </w:p>
    <w:p>
      <w:pPr>
        <w:spacing w:before="156" w:beforeLines="50" w:line="360" w:lineRule="auto"/>
        <w:ind w:firstLine="480" w:firstLineChars="200"/>
        <w:rPr>
          <w:rFonts w:hint="eastAsia"/>
          <w:bCs/>
          <w:color w:val="auto"/>
          <w:sz w:val="24"/>
        </w:rPr>
      </w:pPr>
      <w:r>
        <w:rPr>
          <w:rFonts w:hint="eastAsia"/>
          <w:bCs/>
          <w:color w:val="auto"/>
          <w:sz w:val="24"/>
        </w:rPr>
        <w:t>本次在</w:t>
      </w:r>
      <w:r>
        <w:rPr>
          <w:rFonts w:hint="eastAsia" w:ascii="Times New Roman" w:hAnsi="Times New Roman" w:cs="Times New Roman"/>
          <w:bCs/>
          <w:color w:val="auto"/>
          <w:sz w:val="24"/>
        </w:rPr>
        <w:t>measure_from_Pro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m</w:t>
      </w:r>
      <w:r>
        <w:rPr>
          <w:rFonts w:hint="eastAsia"/>
          <w:bCs/>
          <w:color w:val="auto"/>
          <w:sz w:val="24"/>
        </w:rPr>
        <w:t>井段测量了常规的VDL，测井资料解释分析如下：</w:t>
      </w:r>
    </w:p>
    <w:p>
      <w:pPr>
        <w:spacing w:before="156" w:beforeLines="50" w:line="360" w:lineRule="auto"/>
        <w:ind w:firstLine="480" w:firstLineChars="200"/>
        <w:rPr>
          <w:rFonts w:hint="eastAsia"/>
          <w:bCs/>
          <w:color w:val="FF0000"/>
          <w:sz w:val="24"/>
        </w:rPr>
      </w:pPr>
      <w:r>
        <w:rPr>
          <w:rFonts w:hint="eastAsia"/>
          <w:bCs/>
          <w:color w:val="FF0000"/>
          <w:sz w:val="24"/>
          <w:lang w:val="en-US" w:eastAsia="zh-CN"/>
        </w:rPr>
        <w:t>xxxx</w:t>
      </w:r>
      <w:r>
        <w:rPr>
          <w:rFonts w:hint="eastAsia"/>
          <w:bCs/>
          <w:color w:val="FF0000"/>
          <w:sz w:val="24"/>
        </w:rPr>
        <w:t>-</w:t>
      </w:r>
      <w:r>
        <w:rPr>
          <w:rFonts w:hint="eastAsia"/>
          <w:bCs/>
          <w:color w:val="FF0000"/>
          <w:sz w:val="24"/>
          <w:lang w:val="en-US" w:eastAsia="zh-CN"/>
        </w:rPr>
        <w:t>xxxx</w:t>
      </w:r>
      <w:r>
        <w:rPr>
          <w:rFonts w:hint="eastAsia"/>
          <w:bCs/>
          <w:color w:val="FF0000"/>
          <w:sz w:val="24"/>
        </w:rPr>
        <w:t>m井段，声幅幅度中到低，套管首波和接箍信号中；因双层套管致地层波信号弱，第一界面固井质量以好为主，局部为中，固井质量综合评价为合格。第二界面固井质量评价不确定。</w:t>
      </w:r>
    </w:p>
    <w:p>
      <w:pPr>
        <w:spacing w:before="156" w:beforeLines="50" w:line="360" w:lineRule="auto"/>
        <w:ind w:firstLine="480" w:firstLineChars="200"/>
        <w:rPr>
          <w:rFonts w:hint="eastAsia"/>
          <w:bCs/>
          <w:color w:val="FF0000"/>
          <w:sz w:val="24"/>
        </w:rPr>
      </w:pPr>
      <w:r>
        <w:rPr>
          <w:rFonts w:hint="eastAsia"/>
          <w:bCs/>
          <w:color w:val="FF0000"/>
          <w:sz w:val="24"/>
          <w:lang w:val="en-US" w:eastAsia="zh-CN"/>
        </w:rPr>
        <w:t>xxxx</w:t>
      </w:r>
      <w:r>
        <w:rPr>
          <w:rFonts w:hint="eastAsia"/>
          <w:bCs/>
          <w:color w:val="FF0000"/>
          <w:sz w:val="24"/>
        </w:rPr>
        <w:t>-</w:t>
      </w:r>
      <w:r>
        <w:rPr>
          <w:rFonts w:hint="eastAsia"/>
          <w:bCs/>
          <w:color w:val="FF0000"/>
          <w:sz w:val="24"/>
          <w:lang w:val="en-US" w:eastAsia="zh-CN"/>
        </w:rPr>
        <w:t>xxxx</w:t>
      </w:r>
      <w:r>
        <w:rPr>
          <w:rFonts w:hint="eastAsia"/>
          <w:bCs/>
          <w:color w:val="FF0000"/>
          <w:sz w:val="24"/>
        </w:rPr>
        <w:t>m井段微间隙特征较明显，声幅幅度为中到高，套管首波和接箍信号中到高；地层波信号中，第一界面固井质量中到差、以差为主，固井质量综合评价为不合格。第二界面固井质量综合评价为合格。</w:t>
      </w:r>
    </w:p>
    <w:p>
      <w:pPr>
        <w:spacing w:before="156" w:beforeLines="50" w:line="360" w:lineRule="auto"/>
        <w:ind w:firstLine="480" w:firstLineChars="200"/>
        <w:rPr>
          <w:rFonts w:hint="eastAsia" w:eastAsia="新宋体"/>
          <w:bCs/>
          <w:color w:val="00B0F0"/>
          <w:sz w:val="24"/>
        </w:rPr>
      </w:pPr>
      <w:r>
        <w:rPr>
          <w:rFonts w:hint="eastAsia"/>
          <w:bCs/>
          <w:color w:val="FF0000"/>
          <w:sz w:val="24"/>
          <w:lang w:val="en-US" w:eastAsia="zh-CN"/>
        </w:rPr>
        <w:t>xxxx</w:t>
      </w:r>
      <w:r>
        <w:rPr>
          <w:rFonts w:hint="eastAsia"/>
          <w:bCs/>
          <w:color w:val="FF0000"/>
          <w:sz w:val="24"/>
        </w:rPr>
        <w:t>-</w:t>
      </w:r>
      <w:r>
        <w:rPr>
          <w:rFonts w:hint="eastAsia"/>
          <w:bCs/>
          <w:color w:val="FF0000"/>
          <w:sz w:val="24"/>
          <w:lang w:val="en-US" w:eastAsia="zh-CN"/>
        </w:rPr>
        <w:t>xxxx</w:t>
      </w:r>
      <w:r>
        <w:rPr>
          <w:rFonts w:hint="eastAsia"/>
          <w:bCs/>
          <w:color w:val="FF0000"/>
          <w:sz w:val="24"/>
        </w:rPr>
        <w:t>m井段，声幅幅度中到低，套管首波和接箍信号中；因双层套管致地层波信号弱，第一界面固井质量以好为主、局部为中，固井质量综合评价为合格。第二界面固井质量综合评价为合格。</w:t>
      </w:r>
    </w:p>
    <w:bookmarkEnd w:id="39"/>
    <w:p>
      <w:pPr>
        <w:spacing w:before="156" w:beforeLines="50" w:line="360" w:lineRule="auto"/>
        <w:ind w:firstLine="482" w:firstLineChars="200"/>
        <w:rPr>
          <w:rFonts w:eastAsia="新宋体"/>
          <w:b/>
          <w:bCs/>
          <w:color w:val="000000"/>
          <w:sz w:val="24"/>
        </w:rPr>
      </w:pPr>
      <w:r>
        <w:rPr>
          <w:rFonts w:eastAsia="新宋体"/>
          <w:b/>
          <w:bCs/>
          <w:color w:val="000000"/>
          <w:sz w:val="24"/>
        </w:rPr>
        <w:t>（</w:t>
      </w:r>
      <w:r>
        <w:rPr>
          <w:rFonts w:hint="eastAsia" w:eastAsia="新宋体"/>
          <w:b/>
          <w:bCs/>
          <w:color w:val="000000"/>
          <w:sz w:val="24"/>
        </w:rPr>
        <w:t>5</w:t>
      </w:r>
      <w:r>
        <w:rPr>
          <w:rFonts w:eastAsia="新宋体"/>
          <w:b/>
          <w:bCs/>
          <w:color w:val="000000"/>
          <w:sz w:val="24"/>
        </w:rPr>
        <w:t>）固井质量综合解释评价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cs="Times New Roman"/>
          <w:b w:val="0"/>
          <w:bCs/>
          <w:sz w:val="28"/>
        </w:rPr>
      </w:pPr>
      <w:bookmarkStart w:id="40" w:name="_Toc30477"/>
      <w:r>
        <w:rPr>
          <w:rFonts w:hint="eastAsia" w:ascii="Times New Roman" w:hAnsi="Times New Roman" w:cs="Times New Roman"/>
          <w:b w:val="0"/>
          <w:bCs/>
          <w:sz w:val="28"/>
          <w:lang w:val="en-US" w:eastAsia="zh-CN"/>
        </w:rPr>
        <w:t>3</w:t>
      </w:r>
      <w:r>
        <w:rPr>
          <w:rFonts w:ascii="Times New Roman" w:hAnsi="Times New Roman" w:cs="Times New Roman"/>
          <w:b w:val="0"/>
          <w:bCs/>
          <w:sz w:val="28"/>
        </w:rPr>
        <w:t>．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32"/>
          <w:lang w:val="en-US" w:eastAsia="zh-CN" w:bidi="ar-SA"/>
        </w:rPr>
        <w:t>储层测井解释表</w:t>
      </w:r>
      <w:bookmarkEnd w:id="40"/>
    </w:p>
    <w:p>
      <w:pPr>
        <w:pStyle w:val="27"/>
        <w:numPr>
          <w:ilvl w:val="0"/>
          <w:numId w:val="0"/>
        </w:numPr>
        <w:spacing w:line="360" w:lineRule="auto"/>
        <w:ind w:left="0" w:leftChars="0" w:firstLine="420" w:firstLineChars="175"/>
        <w:rPr>
          <w:rFonts w:hint="eastAsia"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本次测量井段裸眼测井解释储层见表3</w:t>
      </w:r>
    </w:p>
    <w:p>
      <w:pPr>
        <w:pStyle w:val="27"/>
        <w:ind w:right="31" w:rightChars="15" w:firstLine="1920" w:firstLineChars="800"/>
        <w:rPr>
          <w:rFonts w:hint="eastAsia" w:ascii="Times New Roman" w:hAnsi="Times New Roman" w:eastAsia="宋体"/>
          <w:bCs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</w:t>
      </w:r>
      <w:r>
        <w:rPr>
          <w:rFonts w:hint="eastAsia" w:ascii="Times New Roman" w:hAnsi="Times New Roman"/>
          <w:sz w:val="24"/>
          <w:lang w:val="en-US" w:eastAsia="zh-CN"/>
        </w:rPr>
        <w:t>3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 w:val="0"/>
          <w:bCs/>
          <w:sz w:val="24"/>
        </w:rPr>
      </w:pPr>
      <w:bookmarkStart w:id="41" w:name="_Toc4160"/>
      <w:r>
        <w:rPr>
          <w:rFonts w:hint="eastAsia" w:ascii="Times New Roman" w:hAnsi="Times New Roman"/>
          <w:b w:val="0"/>
          <w:bCs/>
          <w:sz w:val="28"/>
        </w:rPr>
        <w:t>4</w:t>
      </w:r>
      <w:r>
        <w:rPr>
          <w:rFonts w:ascii="Times New Roman" w:hAnsi="Times New Roman" w:cs="Times New Roman"/>
          <w:b w:val="0"/>
          <w:bCs/>
          <w:sz w:val="28"/>
        </w:rPr>
        <w:t>．</w:t>
      </w:r>
      <w:r>
        <w:rPr>
          <w:rFonts w:hint="eastAsia" w:ascii="Times New Roman" w:hAnsi="Times New Roman" w:eastAsia="黑体" w:cs="Times New Roman"/>
          <w:b w:val="0"/>
          <w:bCs/>
          <w:kern w:val="2"/>
          <w:sz w:val="28"/>
          <w:szCs w:val="32"/>
          <w:lang w:val="en-US" w:eastAsia="zh-CN" w:bidi="ar-SA"/>
        </w:rPr>
        <w:t>固井质量统计及单层固井质量评价表</w:t>
      </w:r>
      <w:bookmarkEnd w:id="41"/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4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7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标     准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  度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比  例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0.00--</w:t>
            </w:r>
            <w:r>
              <w:rPr>
                <w:color w:val="FF0000"/>
                <w:sz w:val="21"/>
                <w:szCs w:val="21"/>
              </w:rPr>
              <w:t>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40.0</w:t>
            </w:r>
            <w:r>
              <w:rPr>
                <w:sz w:val="21"/>
                <w:szCs w:val="21"/>
              </w:rPr>
              <w:t>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  度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比  例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0-0.80</w:t>
            </w:r>
            <w:bookmarkStart w:id="42" w:name="_GoBack"/>
            <w:bookmarkEnd w:id="42"/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0.00-0.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差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7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结论</w:t>
            </w:r>
          </w:p>
        </w:tc>
      </w:tr>
    </w:tbl>
    <w:p>
      <w:pPr>
        <w:pStyle w:val="27"/>
        <w:spacing w:line="160" w:lineRule="atLeast"/>
        <w:rPr>
          <w:rFonts w:ascii="Times New Roman" w:hAnsi="Times New Roman" w:cs="Times New Roman"/>
          <w:sz w:val="24"/>
        </w:rPr>
      </w:pPr>
    </w:p>
    <w:sectPr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5ABD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D25150F"/>
    <w:rsid w:val="0DB0657E"/>
    <w:rsid w:val="0FE7112A"/>
    <w:rsid w:val="118F3F11"/>
    <w:rsid w:val="120100B8"/>
    <w:rsid w:val="121F6EEF"/>
    <w:rsid w:val="14874236"/>
    <w:rsid w:val="163F6841"/>
    <w:rsid w:val="1AEA0660"/>
    <w:rsid w:val="236D1548"/>
    <w:rsid w:val="24C32B3D"/>
    <w:rsid w:val="268F4175"/>
    <w:rsid w:val="270A41E9"/>
    <w:rsid w:val="27177FF7"/>
    <w:rsid w:val="2CDE16A5"/>
    <w:rsid w:val="2FA51D0A"/>
    <w:rsid w:val="303C3C6A"/>
    <w:rsid w:val="32397EBC"/>
    <w:rsid w:val="32F85AAA"/>
    <w:rsid w:val="35095105"/>
    <w:rsid w:val="360A0D23"/>
    <w:rsid w:val="37850512"/>
    <w:rsid w:val="3A284550"/>
    <w:rsid w:val="3AF1717B"/>
    <w:rsid w:val="3CF42C0F"/>
    <w:rsid w:val="3D366DA6"/>
    <w:rsid w:val="407F66FF"/>
    <w:rsid w:val="40BA50B9"/>
    <w:rsid w:val="41F22BF9"/>
    <w:rsid w:val="429F0E82"/>
    <w:rsid w:val="431A7100"/>
    <w:rsid w:val="438121B7"/>
    <w:rsid w:val="439F512D"/>
    <w:rsid w:val="43B32003"/>
    <w:rsid w:val="44C56E0B"/>
    <w:rsid w:val="44E7752D"/>
    <w:rsid w:val="45253086"/>
    <w:rsid w:val="456A7624"/>
    <w:rsid w:val="4583075B"/>
    <w:rsid w:val="45CB2DE2"/>
    <w:rsid w:val="46537975"/>
    <w:rsid w:val="488C2D09"/>
    <w:rsid w:val="49972E85"/>
    <w:rsid w:val="4B56475D"/>
    <w:rsid w:val="4DE1292A"/>
    <w:rsid w:val="4E03304A"/>
    <w:rsid w:val="4E5810C4"/>
    <w:rsid w:val="50D11197"/>
    <w:rsid w:val="53561B30"/>
    <w:rsid w:val="53D816C5"/>
    <w:rsid w:val="58A9067D"/>
    <w:rsid w:val="5A5E486B"/>
    <w:rsid w:val="5B432981"/>
    <w:rsid w:val="5E256E34"/>
    <w:rsid w:val="626359FB"/>
    <w:rsid w:val="62CE530A"/>
    <w:rsid w:val="631E5BC2"/>
    <w:rsid w:val="6342258D"/>
    <w:rsid w:val="670F780D"/>
    <w:rsid w:val="6F9E0212"/>
    <w:rsid w:val="7034230E"/>
    <w:rsid w:val="70540816"/>
    <w:rsid w:val="716C7F85"/>
    <w:rsid w:val="719E4ED9"/>
    <w:rsid w:val="750D79DC"/>
    <w:rsid w:val="7666441B"/>
    <w:rsid w:val="766B383A"/>
    <w:rsid w:val="76AD2178"/>
    <w:rsid w:val="7B927228"/>
    <w:rsid w:val="7BFA6B6F"/>
    <w:rsid w:val="7DA6780D"/>
    <w:rsid w:val="7E4F502A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16</TotalTime>
  <ScaleCrop>false</ScaleCrop>
  <LinksUpToDate>false</LinksUpToDate>
  <CharactersWithSpaces>2990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2021-04-30T01:37:14Z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8F2B20E03E614FE8907151D4F9D1D9B8</vt:lpwstr>
  </property>
</Properties>
</file>