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first_Pro_Interval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  <w:bookmarkStart w:id="33" w:name="_GoBack"/>
      <w:bookmarkEnd w:id="33"/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  <w:bookmarkStart w:id="4" w:name="_Toc209860804"/>
      <w:bookmarkStart w:id="5" w:name="_Toc398371385"/>
      <w:bookmarkStart w:id="6" w:name="_Toc277333768"/>
      <w:bookmarkStart w:id="7" w:name="_Toc209966683"/>
      <w:bookmarkStart w:id="8" w:name="_Toc209971939"/>
      <w:bookmarkStart w:id="9" w:name="_Toc209808237"/>
      <w:bookmarkStart w:id="10" w:name="_Toc214507613"/>
      <w:bookmarkStart w:id="11" w:name="_Toc247593003"/>
      <w:bookmarkStart w:id="12" w:name="_Toc206923605"/>
      <w:bookmarkStart w:id="13" w:name="_Toc398371629"/>
      <w:bookmarkStart w:id="14" w:name="_Toc17205736"/>
      <w:bookmarkStart w:id="15" w:name="_Toc398370619"/>
      <w:bookmarkStart w:id="16" w:name="_Toc398370189"/>
      <w:bookmarkStart w:id="17" w:name="_Toc210125982"/>
      <w:bookmarkStart w:id="18" w:name="_Toc398370868"/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18"/>
                <w:szCs w:val="16"/>
                <w:lang w:val="en-US" w:eastAsia="zh-CN" w:bidi="ar-SA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244332168"/>
      <w:bookmarkStart w:id="21" w:name="_Toc249174113"/>
      <w:bookmarkStart w:id="22" w:name="_Toc398370620"/>
      <w:bookmarkStart w:id="23" w:name="_Toc249176370"/>
      <w:bookmarkStart w:id="24" w:name="_Toc248746782"/>
      <w:bookmarkStart w:id="25" w:name="_Toc398370869"/>
      <w:bookmarkStart w:id="26" w:name="_Toc398371630"/>
      <w:bookmarkStart w:id="27" w:name="_Toc398371386"/>
      <w:bookmarkStart w:id="28" w:name="_Toc206842801"/>
      <w:bookmarkStart w:id="29" w:name="_Toc398370190"/>
      <w:bookmarkStart w:id="30" w:name="_Toc17205737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hint="eastAsia"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hint="eastAsia" w:ascii="Times New Roman" w:hAnsi="Times New Roman"/>
          <w:b/>
          <w:bCs/>
          <w:sz w:val="24"/>
          <w:lang w:eastAsia="zh-CN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参照中华人民共和国石油天然气行业标准中的《固井质量评价方法》（标准号：SY/T 6592-20</w:t>
      </w:r>
      <w:r>
        <w:rPr>
          <w:rFonts w:hint="eastAsia" w:ascii="Times New Roman" w:hAnsi="Times New Roman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）及川庆钻探工程有限公司工程技术处指导意见，</w:t>
      </w: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采用相对声幅(CBL)评价指标定量评价固井质量；</w:t>
      </w:r>
      <w:r>
        <w:rPr>
          <w:rFonts w:hint="eastAsia" w:ascii="Times New Roman" w:hAnsi="Times New Roman"/>
          <w:bCs/>
          <w:sz w:val="24"/>
        </w:rPr>
        <w:t>二界面根据计算的第二界面胶结指数（BR2）、结合对变密度的定性分析，进行综合解释评价。</w:t>
      </w:r>
    </w:p>
    <w:p>
      <w:pPr>
        <w:pStyle w:val="27"/>
        <w:spacing w:line="360" w:lineRule="auto"/>
        <w:ind w:firstLine="960" w:firstLineChars="4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hint="eastAsia" w:ascii="Times New Roman" w:hAnsi="Times New Roman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0.6≤BR2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：参照川庆钻探工程有限公司企业标准Q/SYCQZ 001-20</w:t>
      </w:r>
      <w:r>
        <w:rPr>
          <w:rFonts w:hint="eastAsia" w:ascii="Times New Roman" w:hAnsi="Times New Roman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做</w:t>
      </w:r>
      <w:r>
        <w:rPr>
          <w:rFonts w:ascii="Times New Roman" w:hAnsi="Times New Roman" w:cs="Times New Roman"/>
          <w:bCs/>
          <w:color w:val="auto"/>
          <w:sz w:val="24"/>
        </w:rPr>
        <w:t>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本次测井一界面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二界面处理评价井段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  <w:lang w:eastAsia="zh-CN"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因未测到套管底100m，故不做评价。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BA50B9"/>
    <w:rsid w:val="438121B7"/>
    <w:rsid w:val="43B32003"/>
    <w:rsid w:val="44C56E0B"/>
    <w:rsid w:val="456A7624"/>
    <w:rsid w:val="4583075B"/>
    <w:rsid w:val="45CB2DE2"/>
    <w:rsid w:val="488C2D09"/>
    <w:rsid w:val="4B56475D"/>
    <w:rsid w:val="4DE1292A"/>
    <w:rsid w:val="50D11197"/>
    <w:rsid w:val="53D816C5"/>
    <w:rsid w:val="5A5E486B"/>
    <w:rsid w:val="626359FB"/>
    <w:rsid w:val="670F780D"/>
    <w:rsid w:val="716C7F85"/>
    <w:rsid w:val="750D79DC"/>
    <w:rsid w:val="7666441B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11</TotalTime>
  <ScaleCrop>false</ScaleCrop>
  <LinksUpToDate>false</LinksUpToDate>
  <CharactersWithSpaces>2073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2020-05-09T07:25:55Z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