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ascii="宋体" w:cs="宋体"/>
          <w:sz w:val="24"/>
          <w:szCs w:val="24"/>
          <w:lang w:val="zh-CN"/>
        </w:rPr>
      </w:pPr>
      <w:bookmarkStart w:id="0" w:name="_Toc209966683"/>
      <w:bookmarkStart w:id="1" w:name="_Toc398371629"/>
      <w:bookmarkStart w:id="2" w:name="_Toc17205736"/>
      <w:bookmarkStart w:id="3" w:name="_Toc398370619"/>
      <w:bookmarkStart w:id="4" w:name="_Toc214507613"/>
      <w:bookmarkStart w:id="5" w:name="_Toc247593003"/>
      <w:bookmarkStart w:id="6" w:name="_Toc398370868"/>
      <w:bookmarkStart w:id="7" w:name="_Toc398370189"/>
      <w:bookmarkStart w:id="8" w:name="_Toc209860804"/>
      <w:bookmarkStart w:id="9" w:name="_Toc209808237"/>
      <w:bookmarkStart w:id="10" w:name="_Toc398371385"/>
      <w:bookmarkStart w:id="11" w:name="_Toc277333768"/>
      <w:bookmarkStart w:id="12" w:name="_Toc210125982"/>
      <w:bookmarkStart w:id="13" w:name="_Toc206923605"/>
      <w:bookmarkStart w:id="14" w:name="_Toc209971939"/>
    </w:p>
    <w:p>
      <w:pPr>
        <w:autoSpaceDE w:val="0"/>
        <w:autoSpaceDN w:val="0"/>
        <w:adjustRightInd w:val="0"/>
        <w:spacing w:line="360" w:lineRule="auto"/>
        <w:jc w:val="both"/>
        <w:rPr>
          <w:rFonts w:ascii="宋体" w:cs="宋体"/>
          <w:sz w:val="24"/>
          <w:szCs w:val="24"/>
          <w:lang w:val="zh-CN"/>
        </w:rPr>
      </w:pPr>
    </w:p>
    <w:p>
      <w:pPr>
        <w:spacing w:line="360" w:lineRule="auto"/>
        <w:jc w:val="center"/>
        <w:rPr>
          <w:rFonts w:ascii="宋体" w:cs="宋体"/>
          <w:sz w:val="24"/>
          <w:szCs w:val="24"/>
          <w:lang w:val="zh-CN"/>
        </w:rPr>
      </w:pPr>
      <w:r>
        <w:rPr>
          <w:rFonts w:hint="eastAsia" w:ascii="宋体" w:hAnsi="宋体"/>
          <w:b/>
          <w:sz w:val="28"/>
          <w:szCs w:val="48"/>
        </w:rPr>
        <w:t>四川盆地</w:t>
      </w:r>
      <w:r>
        <w:rPr>
          <w:rFonts w:ascii="宋体" w:hAnsi="宋体"/>
          <w:b/>
          <w:sz w:val="28"/>
          <w:szCs w:val="48"/>
        </w:rPr>
        <w:t>长宁构造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52"/>
        </w:rPr>
      </w:pPr>
      <w:r>
        <w:rPr>
          <w:rFonts w:hint="eastAsia" w:ascii="黑体" w:hAnsi="Roman 10cpi" w:eastAsia="黑体"/>
          <w:b/>
          <w:sz w:val="52"/>
        </w:rPr>
        <w:t>well_Name井</w:t>
      </w: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黑体" w:hAnsi="Roman 10cpi" w:eastAsia="黑体"/>
          <w:b/>
          <w:sz w:val="44"/>
        </w:rPr>
        <w:t>固井水泥胶结测井评价报告</w:t>
      </w: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tabs>
          <w:tab w:val="left" w:pos="4395"/>
        </w:tabs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tabs>
          <w:tab w:val="left" w:pos="4395"/>
        </w:tabs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四川长宁天然气开发有限责任公司</w:t>
      </w: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year</w:t>
      </w:r>
      <w:r>
        <w:rPr>
          <w:rFonts w:hint="eastAsia" w:ascii="宋体" w:hAnsi="宋体"/>
          <w:b/>
          <w:szCs w:val="21"/>
        </w:rPr>
        <w:t>年</w:t>
      </w:r>
      <w:r>
        <w:rPr>
          <w:rFonts w:hint="eastAsia" w:ascii="宋体" w:hAnsi="宋体"/>
          <w:b/>
          <w:szCs w:val="21"/>
          <w:lang w:val="en-US" w:eastAsia="zh-CN"/>
        </w:rPr>
        <w:t>month</w:t>
      </w:r>
      <w:r>
        <w:rPr>
          <w:rFonts w:hint="eastAsia" w:ascii="宋体" w:hAnsi="宋体"/>
          <w:b/>
          <w:szCs w:val="21"/>
        </w:rPr>
        <w:t>月</w:t>
      </w:r>
    </w:p>
    <w:p>
      <w:pPr>
        <w:autoSpaceDE w:val="0"/>
        <w:autoSpaceDN w:val="0"/>
        <w:adjustRightInd w:val="0"/>
        <w:spacing w:line="500" w:lineRule="exact"/>
        <w:jc w:val="both"/>
        <w:rPr>
          <w:rFonts w:ascii="宋体" w:cs="宋体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48"/>
        </w:rPr>
      </w:pPr>
      <w:r>
        <w:rPr>
          <w:rFonts w:hint="eastAsia" w:ascii="宋体" w:hAnsi="宋体"/>
          <w:b/>
          <w:sz w:val="28"/>
          <w:szCs w:val="48"/>
        </w:rPr>
        <w:t>四川盆地</w:t>
      </w:r>
      <w:r>
        <w:rPr>
          <w:rFonts w:ascii="宋体" w:hAnsi="宋体"/>
          <w:b/>
          <w:sz w:val="28"/>
          <w:szCs w:val="48"/>
        </w:rPr>
        <w:t>长宁构造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52"/>
        </w:rPr>
      </w:pPr>
      <w:r>
        <w:rPr>
          <w:rFonts w:hint="eastAsia" w:ascii="黑体" w:hAnsi="Roman 10cpi" w:eastAsia="黑体"/>
          <w:b/>
          <w:sz w:val="52"/>
        </w:rPr>
        <w:t>well_Name井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44"/>
        </w:rPr>
      </w:pPr>
      <w:bookmarkStart w:id="15" w:name="_Toc28262156"/>
      <w:r>
        <w:rPr>
          <w:rFonts w:hint="eastAsia" w:ascii="黑体" w:hAnsi="Roman 10cpi" w:eastAsia="黑体"/>
          <w:b/>
          <w:sz w:val="44"/>
        </w:rPr>
        <w:t>固井水泥胶结测井评价报告</w:t>
      </w:r>
      <w:bookmarkEnd w:id="15"/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Ansi="宋体"/>
          <w:b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套管尺寸:casing_Goal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测量井段: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rFonts w:hAnsi="宋体"/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50165</wp:posOffset>
            </wp:positionV>
            <wp:extent cx="1638300" cy="16859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spacing w:line="360" w:lineRule="auto"/>
        <w:ind w:firstLine="640" w:firstLineChars="200"/>
        <w:rPr>
          <w:rFonts w:ascii="宋体" w:hAnsi="宋体"/>
          <w:b/>
          <w:sz w:val="28"/>
        </w:rPr>
      </w:pPr>
      <w:r>
        <w:rPr>
          <w:rFonts w:hint="eastAsia" w:ascii="黑体" w:eastAsia="黑体" w:cs="黑体"/>
          <w:sz w:val="32"/>
          <w:szCs w:val="30"/>
          <w:lang w:val="zh-CN"/>
        </w:rPr>
        <w:t>施工单位：</w:t>
      </w:r>
      <w:r>
        <w:rPr>
          <w:rFonts w:hint="eastAsia" w:ascii="宋体" w:hAnsi="宋体"/>
          <w:b/>
          <w:sz w:val="28"/>
        </w:rPr>
        <w:t>中国石油</w:t>
      </w:r>
      <w:r>
        <w:rPr>
          <w:rFonts w:ascii="宋体" w:hAnsi="宋体"/>
          <w:b/>
          <w:sz w:val="28"/>
        </w:rPr>
        <w:t>集团测井有限公司西南分公司</w:t>
      </w:r>
    </w:p>
    <w:p>
      <w:pPr>
        <w:spacing w:line="360" w:lineRule="auto"/>
        <w:ind w:firstLine="2235" w:firstLineChars="795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解释评价中心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黑体" w:eastAsia="黑体" w:cs="黑体"/>
          <w:sz w:val="32"/>
          <w:szCs w:val="30"/>
          <w:lang w:val="zh-CN"/>
        </w:rPr>
      </w:pPr>
    </w:p>
    <w:tbl>
      <w:tblPr>
        <w:tblStyle w:val="53"/>
        <w:tblpPr w:leftFromText="180" w:rightFromText="180" w:vertAnchor="text" w:horzAnchor="page" w:tblpX="2025" w:tblpY="4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黑体" w:eastAsia="黑体" w:cs="黑体"/>
          <w:sz w:val="32"/>
          <w:szCs w:val="30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宋体" w:cs="宋体"/>
          <w:sz w:val="32"/>
          <w:szCs w:val="30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宋体" w:cs="宋体"/>
          <w:sz w:val="32"/>
          <w:szCs w:val="30"/>
          <w:lang w:val="zh-CN"/>
        </w:rPr>
      </w:pPr>
      <w:bookmarkStart w:id="31" w:name="_GoBack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outlineLvl w:val="9"/>
        <w:rPr>
          <w:rFonts w:ascii="宋体" w:cs="宋体"/>
          <w:sz w:val="28"/>
          <w:szCs w:val="28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outlineLvl w:val="9"/>
        <w:rPr>
          <w:rFonts w:ascii="宋体" w:cs="宋体"/>
          <w:sz w:val="28"/>
          <w:szCs w:val="28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rFonts w:ascii="宋体" w:cs="宋体"/>
          <w:sz w:val="28"/>
          <w:szCs w:val="28"/>
          <w:lang w:val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55880</wp:posOffset>
            </wp:positionV>
            <wp:extent cx="2770505" cy="1938655"/>
            <wp:effectExtent l="0" t="0" r="10795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</w:p>
    <w:p>
      <w:pP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year</w:t>
      </w:r>
      <w:r>
        <w:rPr>
          <w:rFonts w:hint="eastAsia" w:ascii="宋体" w:hAnsi="宋体"/>
          <w:b/>
          <w:bCs/>
          <w:szCs w:val="21"/>
        </w:rPr>
        <w:t>年</w:t>
      </w:r>
      <w:r>
        <w:rPr>
          <w:rFonts w:hint="eastAsia" w:ascii="宋体" w:hAnsi="宋体"/>
          <w:b/>
          <w:bCs/>
          <w:szCs w:val="21"/>
          <w:lang w:val="en-US" w:eastAsia="zh-CN"/>
        </w:rPr>
        <w:t>month</w:t>
      </w:r>
      <w:r>
        <w:rPr>
          <w:rFonts w:hint="eastAsia" w:ascii="宋体" w:hAnsi="宋体"/>
          <w:b/>
          <w:bCs/>
          <w:szCs w:val="21"/>
        </w:rPr>
        <w:t>月</w:t>
      </w:r>
    </w:p>
    <w:p>
      <w:pPr>
        <w:autoSpaceDE w:val="0"/>
        <w:autoSpaceDN w:val="0"/>
        <w:adjustRightInd w:val="0"/>
        <w:spacing w:line="500" w:lineRule="exact"/>
        <w:rPr>
          <w:rFonts w:ascii="黑体" w:eastAsia="黑体" w:cs="宋体"/>
          <w:sz w:val="32"/>
          <w:szCs w:val="44"/>
        </w:rPr>
        <w:sectPr>
          <w:footerReference r:id="rId3" w:type="even"/>
          <w:pgSz w:w="11907" w:h="16840"/>
          <w:pgMar w:top="1418" w:right="1418" w:bottom="1418" w:left="1418" w:header="737" w:footer="992" w:gutter="0"/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黑体" w:eastAsia="黑体" w:cs="宋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 w:ascii="黑体" w:eastAsia="黑体" w:cs="宋体"/>
          <w:color w:val="000000"/>
          <w:sz w:val="32"/>
          <w:szCs w:val="44"/>
          <w:lang w:val="zh-CN"/>
        </w:rPr>
      </w:pPr>
      <w:bookmarkStart w:id="16" w:name="_Toc206842798"/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>目</w:t>
      </w:r>
      <w:r>
        <w:rPr>
          <w:rFonts w:ascii="黑体" w:eastAsia="黑体" w:cs="宋体"/>
          <w:color w:val="000000"/>
          <w:sz w:val="32"/>
          <w:szCs w:val="44"/>
          <w:lang w:val="zh-CN"/>
        </w:rPr>
        <w:t xml:space="preserve"> </w:t>
      </w:r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 xml:space="preserve">  </w:t>
      </w:r>
      <w:r>
        <w:rPr>
          <w:rFonts w:ascii="黑体" w:eastAsia="黑体" w:cs="宋体"/>
          <w:color w:val="000000"/>
          <w:sz w:val="32"/>
          <w:szCs w:val="44"/>
          <w:lang w:val="zh-CN"/>
        </w:rPr>
        <w:t xml:space="preserve"> </w:t>
      </w:r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>录</w:t>
      </w:r>
    </w:p>
    <w:p>
      <w:pPr>
        <w:pStyle w:val="35"/>
        <w:rPr>
          <w:rStyle w:val="58"/>
          <w:rFonts w:ascii="宋体"/>
          <w:b w:val="0"/>
          <w:i/>
        </w:rPr>
      </w:pP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ascii="Times New Roman" w:hAnsi="Times New Roman" w:cs="Times New Roman"/>
          <w:b w:val="0"/>
          <w:i/>
        </w:rPr>
        <w:fldChar w:fldCharType="begin"/>
      </w:r>
      <w:r>
        <w:rPr>
          <w:rStyle w:val="58"/>
          <w:rFonts w:ascii="Times New Roman" w:hAnsi="Times New Roman" w:cs="Times New Roman"/>
          <w:b w:val="0"/>
          <w:i/>
        </w:rPr>
        <w:instrText xml:space="preserve"> TOC \o "1-5" \h \z \u </w:instrText>
      </w:r>
      <w:r>
        <w:rPr>
          <w:rStyle w:val="58"/>
          <w:rFonts w:ascii="Times New Roman" w:hAnsi="Times New Roman" w:cs="Times New Roman"/>
          <w:b w:val="0"/>
          <w:i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"_Toc28262159"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一 测井及固井施工简况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Fonts w:hint="eastAsia" w:ascii="黑体" w:hAnsi="黑体" w:eastAsia="黑体" w:cs="黑体"/>
          <w:i w:val="0"/>
          <w:iCs w:val="0"/>
        </w:rPr>
        <w:instrText xml:space="preserve"> PAGEREF _Toc28262159 \h </w:instrText>
      </w:r>
      <w:r>
        <w:rPr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</w:rPr>
        <w:t>1</w:t>
      </w:r>
      <w:r>
        <w:rPr>
          <w:rFonts w:hint="eastAsia" w:ascii="黑体" w:hAnsi="黑体" w:eastAsia="黑体" w:cs="黑体"/>
          <w:i w:val="0"/>
          <w:iCs w:val="0"/>
        </w:rPr>
        <w:fldChar w:fldCharType="end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"_Toc28262160"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二 固井质量测井评价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Fonts w:hint="eastAsia" w:ascii="黑体" w:hAnsi="黑体" w:eastAsia="黑体" w:cs="黑体"/>
          <w:i w:val="0"/>
          <w:iCs w:val="0"/>
        </w:rPr>
        <w:instrText xml:space="preserve"> PAGEREF _Toc28262160 \h </w:instrText>
      </w:r>
      <w:r>
        <w:rPr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</w:rPr>
        <w:t>2</w:t>
      </w:r>
      <w:r>
        <w:rPr>
          <w:rFonts w:hint="eastAsia" w:ascii="黑体" w:hAnsi="黑体" w:eastAsia="黑体" w:cs="黑体"/>
          <w:i w:val="0"/>
          <w:iCs w:val="0"/>
        </w:rPr>
        <w:fldChar w:fldCharType="end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"_Toc28262161"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1．固井质量评价标准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_Toc28262161 \h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"_Toc28262162"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2．固井质量测井评价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_Toc28262162 \h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"_Toc28262163"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3．储层段固井质量分析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2</w:t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"_Toc28262164"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三 建议及其它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  <w:color w:val="FF0000"/>
          <w:lang w:val="en-US" w:eastAsia="zh-CN"/>
        </w:rPr>
        <w:t>3</w: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widowControl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  <w:lang w:val="zh-CN"/>
        </w:rPr>
        <w:sectPr>
          <w:pgSz w:w="11907" w:h="16840"/>
          <w:pgMar w:top="1418" w:right="1418" w:bottom="1418" w:left="1418" w:header="737" w:footer="992" w:gutter="0"/>
          <w:pgNumType w:start="1"/>
          <w:cols w:space="720" w:num="1"/>
          <w:docGrid w:linePitch="312" w:charSpace="0"/>
        </w:sectPr>
      </w:pPr>
      <w:r>
        <w:rPr>
          <w:rStyle w:val="58"/>
          <w:sz w:val="24"/>
          <w:szCs w:val="24"/>
        </w:rPr>
        <w:fldChar w:fldCharType="end"/>
      </w:r>
    </w:p>
    <w:bookmarkEnd w:id="16"/>
    <w:p>
      <w:pPr>
        <w:pStyle w:val="2"/>
        <w:widowControl/>
        <w:spacing w:before="240" w:after="240" w:line="500" w:lineRule="exact"/>
        <w:jc w:val="left"/>
        <w:rPr>
          <w:rFonts w:eastAsia="黑体"/>
          <w:bCs w:val="0"/>
          <w:sz w:val="32"/>
        </w:rPr>
      </w:pPr>
      <w:r>
        <w:rPr>
          <w:rFonts w:eastAsia="黑体"/>
          <w:bCs w:val="0"/>
          <w:sz w:val="32"/>
        </w:rPr>
        <w:t>一 测井及固井施工简况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7" w:name="_Hlk33711200"/>
            <w:r>
              <w:rPr>
                <w:bCs/>
                <w:sz w:val="18"/>
                <w:szCs w:val="16"/>
              </w:rPr>
              <w:t>stru_Position</w:t>
            </w:r>
            <w:bookmarkEnd w:id="17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18"/>
                <w:szCs w:val="16"/>
                <w:lang w:val="en-US" w:eastAsia="zh-CN" w:bidi="ar-SA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500" w:lineRule="exact"/>
        <w:jc w:val="left"/>
        <w:textAlignment w:val="auto"/>
        <w:rPr>
          <w:rFonts w:eastAsia="黑体"/>
          <w:b w:val="0"/>
          <w:sz w:val="32"/>
          <w:szCs w:val="32"/>
        </w:rPr>
      </w:pPr>
      <w:bookmarkStart w:id="18" w:name="_Toc398370190"/>
      <w:bookmarkStart w:id="19" w:name="_Toc398371386"/>
      <w:bookmarkStart w:id="20" w:name="_Toc249174113"/>
      <w:bookmarkStart w:id="21" w:name="_Toc398371630"/>
      <w:bookmarkStart w:id="22" w:name="_Toc249176370"/>
      <w:bookmarkStart w:id="23" w:name="_Toc398370869"/>
      <w:bookmarkStart w:id="24" w:name="_Toc244332168"/>
      <w:bookmarkStart w:id="25" w:name="_Toc17205737"/>
      <w:bookmarkStart w:id="26" w:name="_Toc206842801"/>
      <w:bookmarkStart w:id="27" w:name="_Toc398370620"/>
      <w:bookmarkStart w:id="28" w:name="_Toc248746782"/>
      <w:bookmarkStart w:id="29" w:name="OLE_LINK10"/>
      <w:bookmarkStart w:id="30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bookmarkEnd w:id="29"/>
    <w:bookmarkEnd w:id="30"/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质量评价指标:</w:t>
      </w:r>
      <w:r>
        <w:rPr>
          <w:rFonts w:ascii="Times New Roman" w:hAnsi="Times New Roman" w:cs="Times New Roman"/>
          <w:bCs/>
          <w:sz w:val="24"/>
        </w:rPr>
        <w:t xml:space="preserve"> 参照中华人民共和国石油天然气行业标准中的《固井质量评价方法》（标准号：SY/T 6592-2016）及川庆钻探工程有限公司工程技术处指导意见，采用相对声幅(CBL)评价指标定量评价固井质量。</w:t>
      </w: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7655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CBL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CBL≤20%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固井质量合格率标准</w:t>
      </w:r>
      <w:r>
        <w:rPr>
          <w:rFonts w:ascii="Times New Roman" w:hAnsi="Times New Roman" w:cs="Times New Roman"/>
          <w:bCs/>
          <w:sz w:val="24"/>
        </w:rPr>
        <w:t>：参照川庆钻探工程有限公司企业标准Q/SYCQZ 001-2008钻井技术操作规程（全井段固井水泥胶结合格率≥60%为合格）。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well_Name井</w:t>
      </w:r>
      <w:r>
        <w:rPr>
          <w:rFonts w:ascii="Times New Roman" w:hAnsi="Times New Roman" w:cs="Times New Roman"/>
          <w:bCs/>
          <w:sz w:val="24"/>
        </w:rPr>
        <w:t>本次固井测井处理评价井段</w:t>
      </w:r>
      <w:r>
        <w:rPr>
          <w:rFonts w:hint="eastAsia" w:ascii="Times New Roman" w:hAnsi="Times New Roman" w:cs="Times New Roman"/>
          <w:bCs/>
          <w:sz w:val="24"/>
        </w:rPr>
        <w:t>process_Section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sz w:val="24"/>
        </w:rPr>
        <w:t>m。</w:t>
      </w:r>
    </w:p>
    <w:p>
      <w:pPr>
        <w:pStyle w:val="27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全井段固井质量总的情况是：水泥胶结优良井段为good_Ratio%，水泥胶结中等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897" w:firstLineChars="37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全井段固井水泥胶结合格率为pass_Percent%，测井评价为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水泥实际返高为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color w:val="000000"/>
          <w:sz w:val="24"/>
        </w:rPr>
        <w:t>m，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color w:val="000000"/>
          <w:sz w:val="24"/>
        </w:rPr>
        <w:t>m至井底固井质量的情况是：水泥胶结优良井段为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Hao_Ratio</w:t>
      </w:r>
      <w:r>
        <w:rPr>
          <w:rFonts w:ascii="Times New Roman" w:hAnsi="Times New Roman" w:cs="Times New Roman"/>
          <w:bCs/>
          <w:color w:val="000000"/>
          <w:sz w:val="24"/>
        </w:rPr>
        <w:t>%，水泥胶结中等井段为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Zhong_Ratio</w:t>
      </w:r>
      <w:r>
        <w:rPr>
          <w:rFonts w:ascii="Times New Roman" w:hAnsi="Times New Roman" w:cs="Times New Roman"/>
          <w:bCs/>
          <w:color w:val="000000"/>
          <w:sz w:val="24"/>
        </w:rPr>
        <w:t>%，水泥胶结差井段为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Cha_Ratio</w:t>
      </w:r>
      <w:r>
        <w:rPr>
          <w:rFonts w:ascii="Times New Roman" w:hAnsi="Times New Roman" w:cs="Times New Roman"/>
          <w:bCs/>
          <w:color w:val="000000"/>
          <w:sz w:val="24"/>
        </w:rPr>
        <w:t>%。</w:t>
      </w:r>
    </w:p>
    <w:p>
      <w:pPr>
        <w:pStyle w:val="27"/>
        <w:spacing w:line="360" w:lineRule="auto"/>
        <w:ind w:firstLine="840" w:firstLineChars="350"/>
        <w:jc w:val="left"/>
        <w:rPr>
          <w:rFonts w:hint="eastAsia" w:ascii="Times New Roman" w:hAnsi="Times New Roman" w:eastAsia="宋体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sz w:val="24"/>
        </w:rPr>
        <w:t>m至井底固井水泥胶结合格率为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not_Bad_Ratio</w:t>
      </w:r>
      <w:r>
        <w:rPr>
          <w:rFonts w:ascii="Times New Roman" w:hAnsi="Times New Roman" w:cs="Times New Roman"/>
          <w:bCs/>
          <w:sz w:val="24"/>
        </w:rPr>
        <w:t>%，测井评价为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pass_or_not</w:t>
      </w:r>
      <w:r>
        <w:rPr>
          <w:rFonts w:hint="eastAsia" w:ascii="Times New Roman" w:hAnsi="Times New Roman" w:cs="Times New Roman"/>
          <w:b/>
          <w:bCs w:val="0"/>
          <w:sz w:val="24"/>
          <w:lang w:eastAsia="zh-CN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因未测到套管底100m，故不作评价。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3、表4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ind w:firstLine="2040" w:firstLineChars="85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全井段固井质量统计表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spacing w:line="360" w:lineRule="auto"/>
        <w:ind w:firstLine="120" w:firstLineChars="50"/>
        <w:jc w:val="center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ind w:firstLine="120" w:firstLineChars="50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well_Name井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水泥</w:t>
      </w:r>
      <w:r>
        <w:rPr>
          <w:rFonts w:ascii="Times New Roman" w:hAnsi="Times New Roman" w:cs="Times New Roman"/>
          <w:sz w:val="24"/>
          <w:szCs w:val="24"/>
        </w:rPr>
        <w:t>实际返高-井底固井质量统计表(统计井段（</w:t>
      </w:r>
      <w:r>
        <w:rPr>
          <w:rFonts w:hint="eastAsia" w:ascii="Times New Roman" w:hAnsi="Times New Roman" w:cs="Times New Roman"/>
          <w:sz w:val="24"/>
          <w:szCs w:val="24"/>
        </w:rPr>
        <w:t>actual_Depth-end_Evaluation</w:t>
      </w:r>
      <w:r>
        <w:rPr>
          <w:rFonts w:ascii="Times New Roman" w:hAnsi="Times New Roman" w:cs="Times New Roman"/>
          <w:sz w:val="24"/>
          <w:szCs w:val="24"/>
        </w:rPr>
        <w:t xml:space="preserve">m)  </w:t>
      </w:r>
      <w:r>
        <w:rPr>
          <w:rFonts w:ascii="Times New Roman" w:hAnsi="Times New Roman" w:cs="Times New Roman"/>
          <w:sz w:val="24"/>
        </w:rPr>
        <w:t>表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actual_Hao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Hao_</w:t>
            </w:r>
            <w:r>
              <w:rPr>
                <w:sz w:val="18"/>
                <w:szCs w:val="18"/>
              </w:rPr>
              <w:t>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actual_Zhong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Zhong_</w:t>
            </w:r>
            <w:r>
              <w:rPr>
                <w:sz w:val="18"/>
                <w:szCs w:val="18"/>
              </w:rPr>
              <w:t>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actual_Cha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Roman 10cpi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center" w:y="1"/>
      <w:rPr>
        <w:rStyle w:val="56"/>
      </w:rPr>
    </w:pPr>
    <w:r>
      <w:fldChar w:fldCharType="begin"/>
    </w:r>
    <w:r>
      <w:rPr>
        <w:rStyle w:val="56"/>
      </w:rPr>
      <w:instrText xml:space="preserve">PAGE  </w:instrText>
    </w:r>
    <w:r>
      <w:fldChar w:fldCharType="separate"/>
    </w:r>
    <w:r>
      <w:rPr>
        <w:rStyle w:val="56"/>
      </w:rPr>
      <w:t>0</w:t>
    </w:r>
    <w: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743BF7"/>
    <w:multiLevelType w:val="multilevel"/>
    <w:tmpl w:val="4C743BF7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 w:ascii="宋体" w:hAnsi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4603FD"/>
    <w:rsid w:val="057E0EF0"/>
    <w:rsid w:val="09AD0111"/>
    <w:rsid w:val="0E152F60"/>
    <w:rsid w:val="120100B8"/>
    <w:rsid w:val="14874236"/>
    <w:rsid w:val="183325A0"/>
    <w:rsid w:val="21396993"/>
    <w:rsid w:val="24C32B3D"/>
    <w:rsid w:val="270A41E9"/>
    <w:rsid w:val="2B1B402B"/>
    <w:rsid w:val="2FA51D0A"/>
    <w:rsid w:val="360A0D23"/>
    <w:rsid w:val="37850512"/>
    <w:rsid w:val="3AF1717B"/>
    <w:rsid w:val="3CF42C0F"/>
    <w:rsid w:val="40BA50B9"/>
    <w:rsid w:val="4583075B"/>
    <w:rsid w:val="4DB40101"/>
    <w:rsid w:val="4DE1292A"/>
    <w:rsid w:val="4FF526FD"/>
    <w:rsid w:val="57EA1DDB"/>
    <w:rsid w:val="5E1040E3"/>
    <w:rsid w:val="60FD0FF6"/>
    <w:rsid w:val="626359FB"/>
    <w:rsid w:val="670F780D"/>
    <w:rsid w:val="6A2F6506"/>
    <w:rsid w:val="6E541CFB"/>
    <w:rsid w:val="716C7F85"/>
    <w:rsid w:val="71F50029"/>
    <w:rsid w:val="750D79DC"/>
    <w:rsid w:val="75367942"/>
    <w:rsid w:val="76690E9C"/>
    <w:rsid w:val="7CC60D64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1</TotalTime>
  <ScaleCrop>false</ScaleCrop>
  <LinksUpToDate>false</LinksUpToDate>
  <CharactersWithSpaces>2073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2020-03-20T04:23:50Z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