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C8102E"/>
          <w:sz w:val="56"/>
          <w:szCs w:val="56"/>
        </w:rPr>
        <w:t xml:space="preserve">Taxonomie des Archétypes PRA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36"/>
          <w:szCs w:val="36"/>
        </w:rPr>
        <w:t xml:space="preserve">Définitions et Exemples</w:t>
      </w:r>
    </w:p>
    <w:p>
      <w:pPr>
        <w:spacing w:after="60"/>
      </w:pPr>
    </w:p>
    <w:p>
      <w:pPr>
        <w:pBdr>
          <w:bottom w:val="single" w:color="C8102E" w:sz="6" w:space="8"/>
        </w:pBdr>
        <w:spacing w:after="0"/>
        <w:jc w:val="center"/>
      </w:pPr>
      <w:r>
        <w:t xml:space="preserve"/>
      </w:r>
    </w:p>
    <w:p>
      <w:pPr>
        <w:spacing w:after="60"/>
      </w:pPr>
    </w:p>
    <w:p>
      <w:pPr>
        <w:jc w:val="center"/>
      </w:pPr>
      <w:r>
        <w:rPr>
          <w:color w:val="666666"/>
          <w:sz w:val="22"/>
          <w:szCs w:val="22"/>
        </w:rPr>
        <w:t xml:space="preserve">Version : 1.0 — Brouillon pour validation</w:t>
      </w:r>
    </w:p>
    <w:p>
      <w:pPr>
        <w:jc w:val="center"/>
      </w:pPr>
      <w:r>
        <w:rPr>
          <w:color w:val="666666"/>
          <w:sz w:val="22"/>
          <w:szCs w:val="22"/>
        </w:rPr>
        <w:t xml:space="preserve">Date : 27 mars 2026</w:t>
      </w:r>
    </w:p>
    <w:p>
      <w:pPr>
        <w:jc w:val="center"/>
      </w:pPr>
      <w:r>
        <w:rPr>
          <w:color w:val="666666"/>
          <w:sz w:val="22"/>
          <w:szCs w:val="22"/>
        </w:rPr>
        <w:t xml:space="preserve">Auteur : Amara Fofana</w:t>
      </w: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i/>
          <w:iCs/>
          <w:color w:val="666666"/>
          <w:sz w:val="22"/>
          <w:szCs w:val="22"/>
        </w:rPr>
        <w:t xml:space="preserve">Suite à la rencontre du 26 mars 2026 avec Charles Allahwirdian, ce document formalise les définitions des archétypes du registre PRA et fournit des exemples concrets pour chaque catégorie.</w:t>
      </w:r>
    </w:p>
    <w:p>
      <w:r>
        <w:br w:type="page"/>
      </w:r>
    </w:p>
    <w:p>
      <w:pPr>
        <w:pStyle w:val="Heading1"/>
      </w:pPr>
      <w:r>
        <w:t xml:space="preserve">1. Principe de classification</w:t>
      </w:r>
    </w:p>
    <w:p>
      <w:pPr>
        <w:pStyle w:val="Heading2"/>
      </w:pPr>
      <w:r>
        <w:t xml:space="preserve">Question fondamentale</w:t>
      </w:r>
    </w:p>
    <w:p>
      <w:pPr>
        <w:spacing w:after="120"/>
      </w:pPr>
      <w:r>
        <w:t xml:space="preserve">Pour classifier un PRA, posez-vous une seule question :</w:t>
      </w:r>
    </w:p>
    <w:p>
      <w:pPr>
        <w:pBdr>
          <w:left w:val="single" w:color="C8102E" w:sz="12" w:space="8"/>
        </w:pBdr>
        <w:spacing w:before="120" w:after="120"/>
        <w:ind w:left="720"/>
      </w:pPr>
      <w:r>
        <w:rPr>
          <w:b/>
          <w:bCs/>
          <w:i/>
          <w:iCs/>
          <w:sz w:val="24"/>
          <w:szCs w:val="24"/>
        </w:rPr>
        <w:t xml:space="preserve">Quel est le problème principal que ce pattern résout ?</w:t>
      </w:r>
    </w:p>
    <w:p>
      <w:pPr>
        <w:spacing w:after="120"/>
      </w:pPr>
      <w:r>
        <w:t xml:space="preserve">Ce n'est pas la technologie qui détermine l'archétype, c'est la capacité fonctionnelle. Un même outil peut apparaître dans différents archétypes selon le problème qu'il adresse.</w:t>
      </w:r>
    </w:p>
    <w:p>
      <w:pPr>
        <w:pStyle w:val="Heading2"/>
      </w:pPr>
      <w:r>
        <w:t xml:space="preserve">Règles de classification</w:t>
      </w:r>
    </w:p>
    <w:p>
      <w:pPr>
        <w:spacing w:after="120"/>
      </w:pPr>
      <w:r>
        <w:rPr>
          <w:b/>
          <w:bCs/>
        </w:rPr>
        <w:t xml:space="preserve">1. Le PRA décrit une capacité fonctionnelle</w:t>
      </w:r>
      <w:r>
        <w:t xml:space="preserve">, pas une plateforme ou un produit.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A34A"/>
        </w:rPr>
        <w:t xml:space="preserve">✅ "File Transfer inter-domaine" (capacité)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C8102E"/>
        </w:rPr>
        <w:t xml:space="preserve">❌ "Azure MFT" (produit — détail d'implémentation)</w:t>
      </w:r>
    </w:p>
    <w:p>
      <w:pPr>
        <w:spacing w:after="120"/>
      </w:pPr>
      <w:r>
        <w:rPr>
          <w:b/>
          <w:bCs/>
        </w:rPr>
        <w:t xml:space="preserve">2. L'archétype est la dimension principale</w:t>
      </w:r>
      <w:r>
        <w:t xml:space="preserve">, les tags apportent la granularité fine.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Archétype = classification grossière (6 catégories)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Tags = classification fine (illimité, libre)</w:t>
      </w:r>
    </w:p>
    <w:p>
      <w:pPr>
        <w:spacing w:after="120"/>
      </w:pPr>
      <w:r>
        <w:rPr>
          <w:b/>
          <w:bCs/>
        </w:rPr>
        <w:t xml:space="preserve">3. En cas d'ambiguïté</w:t>
      </w:r>
      <w:r>
        <w:t xml:space="preserve">, le problème principal tranche.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MFT → Integration (pas Platform Engineering, même si c'est un outil technique)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Zone → pas un PRA (one-shot infra, pas réutilisé par les architectes)</w:t>
      </w:r>
    </w:p>
    <w:p>
      <w:pPr>
        <w:spacing w:after="120"/>
      </w:pPr>
      <w:r>
        <w:rPr>
          <w:b/>
          <w:bCs/>
        </w:rPr>
        <w:t xml:space="preserve">4. Un PRA = un archétype.</w:t>
      </w:r>
      <w:r>
        <w:t xml:space="preserve"> Si un pattern couvre plusieurs domaines, choisir celui qui décrit le mieux le problème résolu.</w:t>
      </w:r>
    </w:p>
    <w:p>
      <w:r>
        <w:br w:type="page"/>
      </w:r>
    </w:p>
    <w:p>
      <w:pPr>
        <w:pStyle w:val="Heading1"/>
      </w:pPr>
      <w:r>
        <w:t xml:space="preserve">2. Un PRA = une recette complète</w:t>
      </w:r>
    </w:p>
    <w:p>
      <w:pPr>
        <w:pStyle w:val="Heading2"/>
      </w:pPr>
      <w:r>
        <w:t xml:space="preserve">Le PRA va au-delà du pattern</w:t>
      </w:r>
    </w:p>
    <w:p>
      <w:pPr>
        <w:spacing w:after="120"/>
      </w:pPr>
      <w:r>
        <w:t xml:space="preserve">Un PRA n'est pas juste un diagramme d'architecture. C'est une recette complète d'implémentation validée à la banque :</w:t>
      </w:r>
    </w:p>
    <w:p>
      <w:pPr>
        <w:pBdr>
          <w:left w:val="single" w:color="C8102E" w:sz="12" w:space="8"/>
        </w:pBdr>
        <w:spacing w:before="120" w:after="120"/>
        <w:ind w:left="720"/>
      </w:pPr>
      <w:r>
        <w:rPr>
          <w:b/>
          <w:bCs/>
          <w:i/>
          <w:iCs/>
          <w:sz w:val="24"/>
          <w:szCs w:val="24"/>
        </w:rPr>
        <w:t xml:space="preserve">Si je dois résoudre ce problème à la Banque Nationale, comment je fais de A à Z 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 pattern architectural</w:t>
      </w:r>
      <w:r>
        <w:t xml:space="preserve"> (le "quoi")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 recette d'implémentation</w:t>
      </w:r>
      <w:r>
        <w:t xml:space="preserve"> suggérée à la banque (le "comment")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Les décisions architecturales</w:t>
      </w:r>
      <w:r>
        <w:t xml:space="preserve"> qui ont mené à ce choix (le "pourquoi")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Les retours d'expérience</w:t>
      </w:r>
      <w:r>
        <w:t xml:space="preserve"> de ceux qui l'ont utilisé (le "ça marche ?")</w:t>
      </w:r>
    </w:p>
    <w:p>
      <w:pPr>
        <w:pStyle w:val="Heading2"/>
      </w:pPr>
      <w:r>
        <w:t xml:space="preserve">Le contenu est transversal par nature</w:t>
      </w:r>
    </w:p>
    <w:p>
      <w:pPr>
        <w:spacing w:after="120"/>
      </w:pPr>
      <w:r>
        <w:t xml:space="preserve">Un PRA Application (ex : SPA React) va couvrir dans sa recette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déployer l'application (aspects Platform Engineering)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Sur quelle infrastructure (aspects Platform Engineering)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la sécuriser (aspects Security)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les APIs communiquent (aspects Integration)</w:t>
      </w:r>
    </w:p>
    <w:p>
      <w:pPr>
        <w:spacing w:after="120"/>
      </w:pPr>
      <w:r>
        <w:rPr>
          <w:b/>
          <w:bCs/>
        </w:rPr>
        <w:t xml:space="preserve">C'est normal et voulu.</w:t>
      </w:r>
      <w:r>
        <w:t xml:space="preserve"> L'architecte trouve tout dans un seul PRA.</w:t>
      </w:r>
    </w:p>
    <w:p>
      <w:pPr>
        <w:pStyle w:val="Heading2"/>
      </w:pPr>
      <w:r>
        <w:t xml:space="preserve">Principe directeur</w:t>
      </w:r>
    </w:p>
    <w:p>
      <w:pPr>
        <w:pBdr>
          <w:left w:val="single" w:color="C8102E" w:sz="12" w:space="8"/>
        </w:pBdr>
        <w:spacing w:before="120" w:after="120"/>
        <w:ind w:left="720"/>
      </w:pPr>
      <w:r>
        <w:rPr>
          <w:b/>
          <w:bCs/>
          <w:i/>
          <w:iCs/>
          <w:sz w:val="24"/>
          <w:szCs w:val="24"/>
        </w:rPr>
        <w:t xml:space="preserve">Un PRA = un problème résolu de bout en bout. L'archétype est la porte d'entrée, pas une frontière artificielle.</w:t>
      </w:r>
    </w:p>
    <w:p>
      <w:r>
        <w:br w:type="page"/>
      </w:r>
    </w:p>
    <w:p>
      <w:pPr>
        <w:pStyle w:val="Heading1"/>
      </w:pPr>
      <w:r>
        <w:t xml:space="preserve">3. Convention de nommage des PRAs</w:t>
      </w:r>
    </w:p>
    <w:p>
      <w:pPr>
        <w:spacing w:after="120"/>
      </w:pPr>
      <w:r>
        <w:rPr>
          <w:b/>
          <w:bCs/>
        </w:rPr>
        <w:t xml:space="preserve">Le nom décrit le problème, pas la solution.</w:t>
      </w:r>
      <w:r>
        <w:t xml:space="preserve"> Le nom est la première chose que l'architecte voit dans le catalogue.</w:t>
      </w:r>
    </w:p>
    <w:p>
      <w:pPr>
        <w:pStyle w:val="Heading2"/>
      </w:pPr>
      <w:r>
        <w:t xml:space="preserve">Règles de nommage</w:t>
      </w:r>
    </w:p>
    <w:p>
      <w:pPr>
        <w:spacing w:after="120"/>
      </w:pPr>
      <w:r>
        <w:rPr>
          <w:b/>
          <w:bCs/>
        </w:rPr>
        <w:t xml:space="preserve">1. Le nom exprime le problème ou la capacité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A34A"/>
        </w:rPr>
        <w:t xml:space="preserve">✅ </w:t>
      </w:r>
      <w:r>
        <w:t xml:space="preserve">"Transfert de fichiers sécurisé inter-domaine"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C8102E"/>
        </w:rPr>
        <w:t xml:space="preserve">❌ </w:t>
      </w:r>
      <w:r>
        <w:t xml:space="preserve">"Azure MFT"</w:t>
      </w:r>
    </w:p>
    <w:p>
      <w:pPr>
        <w:spacing w:after="120"/>
      </w:pPr>
      <w:r>
        <w:rPr>
          <w:b/>
          <w:bCs/>
        </w:rPr>
        <w:t xml:space="preserve">2. Le nom doit être compréhensible par un architecte qui ne connaît pas le pattern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6A34A"/>
        </w:rPr>
        <w:t xml:space="preserve">✅ </w:t>
      </w:r>
      <w:r>
        <w:t xml:space="preserve">"Communication asynchrone par événements"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C8102E"/>
        </w:rPr>
        <w:t xml:space="preserve">❌ </w:t>
      </w:r>
      <w:r>
        <w:t xml:space="preserve">"Kafka Event Sourcing"</w:t>
      </w:r>
    </w:p>
    <w:p>
      <w:pPr>
        <w:spacing w:after="120"/>
      </w:pPr>
      <w:r>
        <w:rPr>
          <w:b/>
          <w:bCs/>
        </w:rPr>
        <w:t xml:space="preserve">3. Le nom peut inclure le contexte si ça apporte de la clarté</w:t>
      </w:r>
    </w:p>
    <w:p>
      <w:pPr>
        <w:spacing w:after="120"/>
      </w:pPr>
      <w:r>
        <w:rPr>
          <w:b/>
          <w:bCs/>
        </w:rPr>
        <w:t xml:space="preserve">4. La technologie va dans les tags</w:t>
      </w:r>
      <w:r>
        <w:t xml:space="preserve">, pas dans le nom</w:t>
      </w:r>
    </w:p>
    <w:p>
      <w:pPr>
        <w:spacing w:after="120"/>
      </w:pPr>
      <w:r>
        <w:rPr>
          <w:b/>
          <w:bCs/>
        </w:rPr>
        <w:t xml:space="preserve">Format suggéré : </w:t>
      </w:r>
      <w:r>
        <w:rPr>
          <w:i/>
          <w:iCs/>
        </w:rPr>
        <w:t xml:space="preserve">[Capacité / Problème résolu] — [Contexte optionnel]</w:t>
      </w:r>
    </w:p>
    <w:p>
      <w:pPr>
        <w:pStyle w:val="Heading2"/>
      </w:pPr>
      <w:r>
        <w:t xml:space="preserve">Exemples de bons noms par archétype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Archétype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Mauvais nom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Bon nom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1B1B"/>
              </w:rPr>
              <w:t xml:space="preserve">"MFT Azure"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6534"/>
              </w:rPr>
              <w:t xml:space="preserve">"Transfert de fichiers sécurisé inter-domaine"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1B1B"/>
              </w:rPr>
              <w:t xml:space="preserve">"React SPA"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6534"/>
              </w:rPr>
              <w:t xml:space="preserve">"Application web monopage (SPA)"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1B1B"/>
              </w:rPr>
              <w:t xml:space="preserve">"Snowflake Lakehouse"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6534"/>
              </w:rPr>
              <w:t xml:space="preserve">"Architecture Data Lake multi-couches"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1B1B"/>
              </w:rPr>
              <w:t xml:space="preserve">"Azure AD SSO"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6534"/>
              </w:rPr>
              <w:t xml:space="preserve">"Authentification centralisée employés (SSO)"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1B1B"/>
              </w:rPr>
              <w:t xml:space="preserve">"ArgoCD GitOps"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6534"/>
              </w:rPr>
              <w:t xml:space="preserve">"Déploiement déclaratif via GitOps"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991B1B"/>
              </w:rPr>
              <w:t xml:space="preserve">"KYC API"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66534"/>
              </w:rPr>
              <w:t xml:space="preserve">"Vérification d'identité client (KYC)"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La technologie n'est pas interdite : </w:t>
      </w:r>
      <w:r>
        <w:t xml:space="preserve">si on changeait la technologie, est-ce que le nom devrait changer ? Si oui, la techno est légitime.</w:t>
      </w:r>
    </w:p>
    <w:p>
      <w:r>
        <w:br w:type="page"/>
      </w:r>
    </w:p>
    <w:p>
      <w:pPr>
        <w:pStyle w:val="Heading1"/>
      </w:pPr>
      <w:r>
        <w:t xml:space="preserve">4. Les 6 Archétypes — Définitions et Exemples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6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Archétype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clé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Integration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 les systèmes communiquent 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 l'application est construite 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 les données sont gérées 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 les systèmes sont sécurisés 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 Engineering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Comment c'est déployé, hébergé et opéré 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Quel processus métier est standardisé ?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4.1 Integration</w:t>
      </w:r>
    </w:p>
    <w:p>
      <w:pPr>
        <w:spacing w:after="120"/>
      </w:pPr>
      <w:r>
        <w:rPr>
          <w:b/>
          <w:bCs/>
        </w:rPr>
        <w:t xml:space="preserve">Définition : </w:t>
      </w:r>
      <w:r>
        <w:t xml:space="preserve">Patterns pour faire communiquer des systèmes entre eux — échange de données, protocoles, flux inter-systèmes.</w:t>
      </w:r>
    </w:p>
    <w:p>
      <w:pPr>
        <w:spacing w:after="120"/>
      </w:pPr>
      <w:r>
        <w:rPr>
          <w:b/>
          <w:bCs/>
        </w:rPr>
        <w:t xml:space="preserve">Question clé : </w:t>
      </w:r>
      <w:r>
        <w:rPr>
          <w:i/>
          <w:iCs/>
        </w:rPr>
        <w:t xml:space="preserve">"Comment deux systèmes échangent-ils des données ou des événements 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MFT / File Transfer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Transfert sécurisé de fichiers, retry, validation, accusé de réception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Point d'entrée centralisé, routage, rate-limiting, authentification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Event-Driven Messaging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 asynchrone (Kafka, RabbitMQ), pub/sub, event sourcing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API Documentation /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Contrats OpenAPI, versioning, catalogue d'APIs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ETL / Data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Extraction, transformation et chargement entre systèmes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Ce qui n'est PAS Integration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pattern de design applicatif (→ Application)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outil de plateforme qui ne fait pas d'échange de données (→ Platform Engineering)</w:t>
      </w:r>
    </w:p>
    <w:p>
      <w:pPr>
        <w:spacing w:after="60"/>
      </w:pPr>
    </w:p>
    <w:p>
      <w:pPr>
        <w:pStyle w:val="Heading2"/>
      </w:pPr>
      <w:r>
        <w:t xml:space="preserve">4.2 Application</w:t>
      </w:r>
    </w:p>
    <w:p>
      <w:pPr>
        <w:spacing w:after="120"/>
      </w:pPr>
      <w:r>
        <w:rPr>
          <w:b/>
          <w:bCs/>
        </w:rPr>
        <w:t xml:space="preserve">Définition : </w:t>
      </w:r>
      <w:r>
        <w:t xml:space="preserve">Patterns de conception et structure applicative — comment architecturer et construire une application.</w:t>
      </w:r>
    </w:p>
    <w:p>
      <w:pPr>
        <w:spacing w:after="120"/>
      </w:pPr>
      <w:r>
        <w:rPr>
          <w:b/>
          <w:bCs/>
        </w:rPr>
        <w:t xml:space="preserve">Question clé : </w:t>
      </w:r>
      <w:r>
        <w:rPr>
          <w:i/>
          <w:iCs/>
        </w:rPr>
        <w:t xml:space="preserve">"Comment cette application est-elle structurée ou conçue 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Single Page Application (SPA)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frontend, rendu côté client, routing, state management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Micro-frontends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Modules frontend indépendants déployables séparément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Backend for Frontend (BFF)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Couche backend dédiée par type de client (mobile, web)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CQRS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Séparation lecture/écriture pour performances et scalabilité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Domain-Driven Design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Bounded contexts, ubiquitous language, structuration par domaine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Ce qui n'est PAS Application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faire communiquer deux applications (→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déployer une application (→ Platform Engineering)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processus métier dans une application (→ Business)</w:t>
      </w:r>
    </w:p>
    <w:p>
      <w:pPr>
        <w:spacing w:after="60"/>
      </w:pPr>
    </w:p>
    <w:p>
      <w:pPr>
        <w:pStyle w:val="Heading2"/>
      </w:pPr>
      <w:r>
        <w:t xml:space="preserve">4.3 Data</w:t>
      </w:r>
    </w:p>
    <w:p>
      <w:pPr>
        <w:spacing w:after="120"/>
      </w:pPr>
      <w:r>
        <w:rPr>
          <w:b/>
          <w:bCs/>
        </w:rPr>
        <w:t xml:space="preserve">Définition : </w:t>
      </w:r>
      <w:r>
        <w:t xml:space="preserve">Patterns de gestion, stockage, transformation, qualité et gouvernance de la donnée.</w:t>
      </w:r>
    </w:p>
    <w:p>
      <w:pPr>
        <w:spacing w:after="120"/>
      </w:pPr>
      <w:r>
        <w:rPr>
          <w:b/>
          <w:bCs/>
        </w:rPr>
        <w:t xml:space="preserve">Question clé : </w:t>
      </w:r>
      <w:r>
        <w:rPr>
          <w:i/>
          <w:iCs/>
        </w:rPr>
        <w:t xml:space="preserve">"Comment la donnée est-elle stockée, transformée, gouvernée ou accessible 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Mesh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Architecture décentralisée, ownership par domaine, data products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Lake / Lakehouse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Stockage multi-couches (bronze/silver/gold)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Master Data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 record, réconciliation inter-systèmes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Lineage &amp; Catalog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Traçabilité source→consommation, catalogage, métadonnées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Real-time Analytics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Streaming analytics, tableaux de bord live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Ce qui n'est PAS Data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Déplacer des fichiers entre systèmes (→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pipeline CI/CD pour data pipeline (→ Platform Engineering)</w:t>
      </w:r>
    </w:p>
    <w:p>
      <w:pPr>
        <w:spacing w:after="60"/>
      </w:pPr>
    </w:p>
    <w:p>
      <w:pPr>
        <w:pStyle w:val="Heading2"/>
      </w:pPr>
      <w:r>
        <w:t xml:space="preserve">4.4 Security</w:t>
      </w:r>
    </w:p>
    <w:p>
      <w:pPr>
        <w:spacing w:after="120"/>
      </w:pPr>
      <w:r>
        <w:rPr>
          <w:b/>
          <w:bCs/>
        </w:rPr>
        <w:t xml:space="preserve">Définition : </w:t>
      </w:r>
      <w:r>
        <w:t xml:space="preserve">Patterns d'authentification, autorisation, protection des données et conformité.</w:t>
      </w:r>
    </w:p>
    <w:p>
      <w:pPr>
        <w:spacing w:after="120"/>
      </w:pPr>
      <w:r>
        <w:rPr>
          <w:b/>
          <w:bCs/>
        </w:rPr>
        <w:t xml:space="preserve">Question clé : </w:t>
      </w:r>
      <w:r>
        <w:rPr>
          <w:i/>
          <w:iCs/>
        </w:rPr>
        <w:t xml:space="preserve">"Comment les utilisateurs, données ou systèmes sont-ils protégés 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SSO / Single Sign-On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Authentification centralisée, fédération d'identités, SAML/OIDC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MFA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Authentification multi-facteurs, patterns d'intégration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Zero Trust Network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Micro-segmentation, vérification continue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Encryption at Rest &amp; in Transit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Chiffrement, gestion des clés, rotation, HSM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Identity Provider (IDP)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Gestion centralisée des identités, provisioning, cycle de vie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Ce qui n'est PAS Security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DevSecOps (→ Platform Engineering — automatisation sécurité dans pipeline)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Transfert sécurisé de fichiers (→ Integration)</w:t>
      </w:r>
    </w:p>
    <w:p>
      <w:pPr>
        <w:spacing w:after="60"/>
      </w:pPr>
    </w:p>
    <w:p>
      <w:pPr>
        <w:pStyle w:val="Heading2"/>
      </w:pPr>
      <w:r>
        <w:t xml:space="preserve">4.5 Platform Engineering</w:t>
      </w:r>
    </w:p>
    <w:p>
      <w:pPr>
        <w:spacing w:after="120"/>
      </w:pPr>
      <w:r>
        <w:rPr>
          <w:b/>
          <w:bCs/>
        </w:rPr>
        <w:t xml:space="preserve">Définition : </w:t>
      </w:r>
      <w:r>
        <w:t xml:space="preserve">Patterns de déploiement, hébergement, CI/CD, observabilité, automation et opérations.</w:t>
      </w:r>
    </w:p>
    <w:p>
      <w:pPr>
        <w:spacing w:after="120"/>
      </w:pPr>
      <w:r>
        <w:rPr>
          <w:b/>
          <w:bCs/>
        </w:rPr>
        <w:t xml:space="preserve">Question clé : </w:t>
      </w:r>
      <w:r>
        <w:rPr>
          <w:i/>
          <w:iCs/>
        </w:rPr>
        <w:t xml:space="preserve">"Comment ma solution est-elle déployée, hébergée et opérée 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Hébergement contenu statique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S3/CloudFront, Azure Blob/CDN, configuration, cache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GitOps Pipeline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Déploiement déclaratif via Git, ArgoCD/Flux, promotion entre env.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Infrastructure as Code (IaC)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Terraform/Pulumi, modules réutilisables, conventions BNC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Observability Stack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Logs, metrics, traces, OpenTelemetry, alerting, SLOs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Container Deployment Patterns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Déploiement K8s, namespace strategy, resource management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DevSecOps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SAST/DAST, scanning de vulnérabilités, quality gates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 Flags &amp; Progressive Delivery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Canary, blue-green, feature toggles, rollback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Cloud Migration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Lift &amp; shift, re-platform, re-architect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Ce qui n'est PAS Platform Engineering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une application est conçue (→ Application)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Comment les systèmes communiquent (→ Integration)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Landing Zone initial (one-shot, pas réutilisé)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Gouvernance d'une plateforme (politique, pas pattern)</w:t>
      </w:r>
    </w:p>
    <w:p>
      <w:pPr>
        <w:spacing w:after="60"/>
      </w:pPr>
    </w:p>
    <w:p>
      <w:pPr>
        <w:pStyle w:val="Heading2"/>
      </w:pPr>
      <w:r>
        <w:t xml:space="preserve">4.6 Business</w:t>
      </w:r>
    </w:p>
    <w:p>
      <w:pPr>
        <w:spacing w:after="120"/>
      </w:pPr>
      <w:r>
        <w:rPr>
          <w:b/>
          <w:bCs/>
        </w:rPr>
        <w:t xml:space="preserve">Définition : </w:t>
      </w:r>
      <w:r>
        <w:t xml:space="preserve">Patterns de réutilisation de capacités d'affaires, workflows métier et logique domaine — incluant la recette technique complète.</w:t>
      </w:r>
    </w:p>
    <w:p>
      <w:pPr>
        <w:spacing w:after="120"/>
      </w:pPr>
      <w:r>
        <w:rPr>
          <w:b/>
          <w:bCs/>
        </w:rPr>
        <w:t xml:space="preserve">Question clé : </w:t>
      </w:r>
      <w:r>
        <w:rPr>
          <w:i/>
          <w:iCs/>
        </w:rPr>
        <w:t xml:space="preserve">"Quel processus métier ou capacité d'affaires ce pattern standardise-t-il 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Onboarding Client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Ouverture de compte, parcours digital, vérification d'identité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KYC (Know Your Customer)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Conformité réglementaire, scoring risque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Payment Processing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Réconciliation, gestion des erreurs, idempotence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Notification Service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Multi-canal (email, SMS, push), templates, préférences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Document Generation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Relevés, contrats, lettres — templates, multi-format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Ce qui n'est PAS Business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pattern technique générique réutilisable indépendamment du métier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  SPA → Application | API Gateway → Integration | CI/CD → Platform Engineering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Un PRA Business inclut les aspects techniques.</w:t>
      </w:r>
      <w:r>
        <w:t xml:space="preserve"> Comme tout PRA, c'est une recette complète. La distinction : le niveau de réutilisabilité.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Business PRA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Autres archétypes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Réutilisable quand...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Même besoin métier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Même problème technique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Exemple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"Onboarding Client" → tout domaine qui fait de l'onboarding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"SPA React" → tout projet qui construit une SPA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Dimension inter-domaine vs intra-domaine</w:t>
      </w:r>
    </w:p>
    <w:p>
      <w:pPr>
        <w:spacing w:after="120"/>
      </w:pPr>
      <w:r>
        <w:t xml:space="preserve">Cette dimension est orthogonale aux archétypes — un PRA de n'importe quel archétype peut être inter-domaine ou intra-domaine.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Inter-domaine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 entre domaines d'affaires (Particuliers ↔ Entreprises ↔ GP)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obligatoire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Intra-domaine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À l'intérieur d'un domaine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Plus de latitude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Les deux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Standards obligatoires inter + flexibilité intra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Deux niveaux documentés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Exemple : File Transfer</w:t>
      </w:r>
    </w:p>
    <w:p>
      <w:pPr>
        <w:shd w:fill="F3F4F6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PRA : File Transfer | Archétype : Integration | Communication : both</w:t>
      </w:r>
    </w:p>
    <w:p>
      <w:pPr>
        <w:shd w:fill="F3F4F6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Inter-domaine (obligatoire) :</w:t>
      </w:r>
    </w:p>
    <w:p>
      <w:pPr>
        <w:shd w:fill="F3F4F6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Utiliser MFT (Managed File Transfer)</w:t>
      </w:r>
    </w:p>
    <w:p>
      <w:pPr>
        <w:shd w:fill="F3F4F6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Protocole SFTP, chiffrement TLS 1.3 min</w:t>
      </w:r>
    </w:p>
    <w:p>
      <w:pPr>
        <w:shd w:fill="F3F4F6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3F4F6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Intra-domaine (flexible) :</w:t>
      </w:r>
    </w:p>
    <w:p>
      <w:pPr>
        <w:shd w:fill="F3F4F6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→ MFT recommandé mais S3-to-S3 accepté si justifié</w:t>
      </w:r>
    </w:p>
    <w:p>
      <w:pPr>
        <w:spacing w:after="60"/>
      </w:pPr>
    </w:p>
    <w:p>
      <w:pPr>
        <w:spacing w:after="120"/>
      </w:pPr>
      <w:r>
        <w:rPr>
          <w:b/>
          <w:bCs/>
        </w:rPr>
        <w:t xml:space="preserve">Métadonnée proposée : </w:t>
      </w:r>
      <w:r>
        <w:rPr>
          <w:rFonts w:ascii="Consolas" w:cs="Consolas" w:eastAsia="Consolas" w:hAnsi="Consolas"/>
          <w:sz w:val="20"/>
          <w:szCs w:val="20"/>
        </w:rPr>
        <w:t xml:space="preserve">:pra-communication: inter-domain | intra-domain | both</w:t>
      </w:r>
    </w:p>
    <w:p>
      <w:r>
        <w:br w:type="page"/>
      </w:r>
    </w:p>
    <w:p>
      <w:pPr>
        <w:pStyle w:val="Heading1"/>
      </w:pPr>
      <w:r>
        <w:t xml:space="preserve">6. Matrice de décision — "Ça va où 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 le pattern...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Archétype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...fait communiquer 2+ systèmes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Integration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...structure la construction d'une app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Application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...gère stockage/transformation de données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...protège accès, identités ou données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Security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...déploie, héberge ou opère une solution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Platform Engineering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...standardise un processus métier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Business</w:t>
            </w:r>
          </w:p>
        </w:tc>
      </w:tr>
    </w:tbl>
    <w:p>
      <w:pPr>
        <w:spacing w:after="60"/>
      </w:pPr>
    </w:p>
    <w:p>
      <w:pPr>
        <w:pStyle w:val="Heading2"/>
      </w:pPr>
      <w:r>
        <w:t xml:space="preserve">Cas ambigus courants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Hésitation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10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MFT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vs Platform Eng.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Integration — transférer des fichiers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DevSecOps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vs Platform Eng.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Eng. — automatiser la sécurité dans le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S3/CloudFront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vs Platform Eng.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Eng. — héberger du contenu statique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SSO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vs Integration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 — authentifier de façon centralisée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IaC / Terraform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Infra vs DevOps 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Eng. — plus d'ambiguïté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Onboarding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vs Application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Business — processus métier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Power Apps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Platform Eng. vs Application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— construire une app low-code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Évolution future</w:t>
      </w:r>
    </w:p>
    <w:p>
      <w:pPr>
        <w:pStyle w:val="Heading2"/>
      </w:pPr>
      <w:r>
        <w:t xml:space="preserve">Archétype AI ?</w:t>
      </w:r>
    </w:p>
    <w:p>
      <w:pPr>
        <w:spacing w:after="120"/>
      </w:pPr>
      <w:r>
        <w:rPr>
          <w:b/>
          <w:bCs/>
        </w:rPr>
        <w:t xml:space="preserve">Option A — AI comme archétype : </w:t>
      </w:r>
      <w:r>
        <w:t xml:space="preserve">si le volume de patterns AI distincts est suffisant (RAG, ML pipeline, LLM, AI governance).</w:t>
      </w:r>
    </w:p>
    <w:p>
      <w:pPr>
        <w:spacing w:after="120"/>
      </w:pPr>
      <w:r>
        <w:rPr>
          <w:b/>
          <w:bCs/>
        </w:rPr>
        <w:t xml:space="preserve">Option B — AI comme tag : </w:t>
      </w:r>
      <w:r>
        <w:t xml:space="preserve">les patterns AI se classent dans les archétypes existants avec un tag "ai"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RAG pipeline → Data (tag: ai, rag)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LLM API integration → Integration (tag: ai, llm)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model deployment → Platform Engineering (tag: ai, mlops)</w:t>
      </w:r>
    </w:p>
    <w:p>
      <w:pPr>
        <w:spacing w:after="120"/>
      </w:pPr>
      <w:r>
        <w:rPr>
          <w:b/>
          <w:bCs/>
        </w:rPr>
        <w:t xml:space="preserve">Recommandation : </w:t>
      </w:r>
      <w:r>
        <w:t xml:space="preserve">commencer avec AI comme tag. Si le volume dépasse 5-10 patterns, promouvoir en archétype.</w:t>
      </w:r>
    </w:p>
    <w:p>
      <w:pPr>
        <w:spacing w:after="60"/>
      </w:pPr>
    </w:p>
    <w:p>
      <w:pPr>
        <w:pStyle w:val="Heading1"/>
      </w:pPr>
      <w:r>
        <w:t xml:space="preserve">8. Prochaines étapes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Valider</w:t>
      </w:r>
      <w:r>
        <w:t xml:space="preserve"> ce document avec Charles et les parties prenantes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Intégrer</w:t>
      </w:r>
      <w:r>
        <w:t xml:space="preserve"> les définitions dans pra-registry.config.yml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Mettre à jour</w:t>
      </w:r>
      <w:r>
        <w:t xml:space="preserve"> les guides avec les définitions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Créer</w:t>
      </w:r>
      <w:r>
        <w:t xml:space="preserve"> les exemples concrets de PRAs pour chaque archétype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Décider</w:t>
      </w:r>
      <w:r>
        <w:t xml:space="preserve"> sur l'ajout de :pra-communication: dans les métadonnées</w:t>
      </w:r>
    </w:p>
    <w:p>
      <w:pPr>
        <w:spacing w:after="60"/>
      </w:pPr>
    </w:p>
    <w:p>
      <w:pPr>
        <w:spacing w:after="120"/>
      </w:pPr>
      <w:r>
        <w:rPr>
          <w:i/>
          <w:iCs/>
          <w:color w:val="666666"/>
        </w:rPr>
        <w:t xml:space="preserve">Ce document est un brouillon pour validation. Les définitions et exemples seront affinés avec les retours des architectes.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102E" w:sz="4" w:space="4"/>
      </w:pBdr>
      <w:spacing w:before="360" w:after="200"/>
      <w:outlineLvl w:val="0"/>
    </w:pPr>
    <w:rPr>
      <w:rFonts w:ascii="Arial" w:cs="Arial" w:eastAsia="Arial" w:hAnsi="Arial"/>
      <w:b/>
      <w:bCs/>
      <w:color w:val="C810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2026-03-27T15:33:05.010Z</dcterms:created>
  <dcterms:modified xsi:type="dcterms:W3CDTF">2026-03-27T15:33:05.011Z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