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tl w:val="0"/>
              </w:rPr>
            </w:r>
            <w:r>
              <w:t>1. Multifactor authentication (MFA): Require a second verification factor (e.g., a one-time code sent to a phone, or an authenticator app) in addition to a password to access the admin panel and other sensitive systems.</w:t>
              <w:br/>
              <w:br/>
              <w:t>2. Password policies: Require each employee to use their own unique, strong password rather than sharing credentials, and replace all default passwords (including the database admin password) with strong, unique ones.</w:t>
              <w:br/>
              <w:br/>
              <w:t>3. Firewall maintenance: Configure and regularly update firewall rules to filter inbound and outbound traffic, allowing only necessary, trusted connections and blocking unrecognized or suspicious traffic.</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r>
              <w:t>Multifactor authentication (MFA) is one of the most effective controls for this organization because it directly addresses two of the four vulnerabilities at once: shared passwords and a default admin password. Even if a password is shared, guessed, or left at its default value, an attacker still cannot log in without the second factor (such as a one-time code sent to the account owner's phone), which stops the exact chain of events that led to the recent breach. MFA is also relatively simple to deploy and, once set up, requires little ongoing maintenance, unlike a control such as firewall rule updates, which needs continuous review.</w:t>
              <w:br/>
              <w:br/>
              <w:t>Implementation frequency: MFA is mainly a one-time setup for each account, though it should be enabled for every new employee account and audited periodically (for example, quarterly) to confirm it remains active and has not been disabled or bypassed.</w:t>
              <w:br/>
              <w:br/>
              <w:t>I also recommend pairing MFA with unique, non-default passwords for every account (implemented immediately for the database admin account) and with configuring firewall rules to filter traffic (reviewed and updated on a recurring schedule, such as monthly, or whenever new threats are identified). Together, these layered controls reduce the risk of a repeat breach even if one control fails.</w:t>
            </w:r>
          </w:p>
        </w:tc>
      </w:tr>
    </w:tbl>
    <w:p w:rsidR="00000000" w:rsidDel="00000000" w:rsidP="00000000" w:rsidRDefault="00000000" w:rsidRPr="00000000" w14:paraId="0000000C">
      <w:pPr>
        <w:spacing w:line="480" w:lineRule="auto"/>
        <w:rPr>
          <w:rFonts w:ascii="Google Sans" w:cs="Google Sans" w:eastAsia="Google Sans" w:hAnsi="Google Sans"/>
          <w:b w:val="1"/>
          <w:color w:val="38761d"/>
          <w:sz w:val="26"/>
          <w:szCs w:val="26"/>
        </w:rPr>
      </w:pPr>
      <w:r w:rsidDel="00000000" w:rsidR="00000000" w:rsidRPr="00000000">
        <w:rPr>
          <w:rtl w:val="0"/>
        </w:rPr>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