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>
        <w:t>Priority 1 (highest risk): Encrypt all stored, processed, and transmitted cardholder data, and restrict access to cardholder data and customer PII/SPII to only employees who need it for their role (implement least privilege and separation of duties). This closes the biggest PCI DSS and SOC gaps.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>
        <w:t>Priority 2: Build a disaster recovery plan with regular, tested backups of critical data, and deploy an intrusion detection system (IDS) so in-progress incidents can be identified quickly.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>
        <w:t>Priority 3: Replace the current nominal password policy with a centralized password management system that enforces strong complexity requirements (8+ characters, mixed case, at least one number and special character). This reduces breach risk and IT help-desk overhead from manual resets.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>
        <w:t>Priority 4: Formally classify and inventory all IT assets so the impact of losing any given asset is known, and put legacy systems on a documented, regular monitoring/maintenance schedule.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>
        <w:t>Implementing these changes would move Botium Toys much closer to full compliance with PCI DSS, GDPR, and SOC 2, and would meaningfully reduce the current risk score of 8/10.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