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5DD" w:rsidRDefault="00FC3E01">
      <w:pPr>
        <w:pStyle w:val="10"/>
        <w:rPr>
          <w:lang w:eastAsia="zh-CN"/>
        </w:rPr>
      </w:pPr>
      <w:bookmarkStart w:id="0" w:name="内容"/>
      <w:r>
        <w:rPr>
          <w:lang w:eastAsia="zh-CN"/>
        </w:rPr>
        <w:t>内容</w:t>
      </w:r>
      <w:bookmarkEnd w:id="0"/>
    </w:p>
    <w:p w:rsidR="004A55DD" w:rsidRDefault="00FC3E01">
      <w:pPr>
        <w:pStyle w:val="20"/>
        <w:rPr>
          <w:lang w:eastAsia="zh-CN"/>
        </w:rPr>
      </w:pPr>
      <w:bookmarkStart w:id="1" w:name="前言"/>
      <w:r>
        <w:rPr>
          <w:lang w:eastAsia="zh-CN"/>
        </w:rPr>
        <w:t xml:space="preserve">1 </w:t>
      </w:r>
      <w:r>
        <w:rPr>
          <w:lang w:eastAsia="zh-CN"/>
        </w:rPr>
        <w:t>前言</w:t>
      </w:r>
      <w:bookmarkEnd w:id="1"/>
    </w:p>
    <w:p w:rsidR="004A55DD" w:rsidRDefault="00FC3E01" w:rsidP="008E156B">
      <w:pPr>
        <w:pStyle w:val="30"/>
        <w:rPr>
          <w:lang w:eastAsia="zh-CN"/>
        </w:rPr>
      </w:pPr>
      <w:bookmarkStart w:id="2" w:name="背景"/>
      <w:r>
        <w:rPr>
          <w:lang w:eastAsia="zh-CN"/>
        </w:rPr>
        <w:t xml:space="preserve">1.1 </w:t>
      </w:r>
      <w:r>
        <w:rPr>
          <w:lang w:eastAsia="zh-CN"/>
        </w:rPr>
        <w:t>背景</w:t>
      </w:r>
      <w:bookmarkEnd w:id="2"/>
    </w:p>
    <w:p w:rsidR="004A55DD" w:rsidRDefault="00FC3E01" w:rsidP="008E156B">
      <w:pPr>
        <w:pStyle w:val="FirstParagraph"/>
        <w:ind w:firstLine="480"/>
        <w:rPr>
          <w:lang w:eastAsia="zh-CN"/>
        </w:rPr>
      </w:pPr>
      <w:r>
        <w:rPr>
          <w:rFonts w:ascii="宋体" w:eastAsia="宋体" w:hAnsi="宋体" w:cs="宋体" w:hint="eastAsia"/>
          <w:lang w:eastAsia="zh-CN"/>
        </w:rPr>
        <w:t>在医学研究中，组织学为肿瘤诊断和治疗的提供了重要信息。解剖病理学家能通过评估组织学特征，如核异型、有丝分裂活动、细胞密度和组织结构等，同时结合相应的细胞以及更高层面，如器官、系统等，提供的信息对病情发展进行分类和分级。</w:t>
      </w:r>
    </w:p>
    <w:p w:rsidR="004A55DD" w:rsidRDefault="00FC3E01">
      <w:pPr>
        <w:pStyle w:val="a0"/>
        <w:ind w:firstLine="480"/>
        <w:rPr>
          <w:lang w:eastAsia="zh-CN"/>
        </w:rPr>
      </w:pPr>
      <w:r>
        <w:rPr>
          <w:lang w:eastAsia="zh-CN"/>
        </w:rPr>
        <w:t>随着基因测序的进步，目前，直接观察基因组中生物标志物，如基因表达和表观遗传修饰变化，以分析肿瘤病症已成为可能。但组织分析仍是预测患者未来病程的重要且不可或缺的工具。组织特征表现出分子层面改变所带来的总体影响。同时，组织能提供直观的视觉信息以帮助医疗人员判断癌症侵入性。然而，组织分析有极大的缺陷</w:t>
      </w:r>
      <w:r>
        <w:rPr>
          <w:lang w:eastAsia="zh-CN"/>
        </w:rPr>
        <w:t>——</w:t>
      </w:r>
      <w:r>
        <w:rPr>
          <w:lang w:eastAsia="zh-CN"/>
        </w:rPr>
        <w:t>即其是高度主观、不能重复得到相同结果的。</w:t>
      </w:r>
    </w:p>
    <w:p w:rsidR="004A55DD" w:rsidRDefault="00FC3E01">
      <w:pPr>
        <w:pStyle w:val="a0"/>
        <w:ind w:firstLine="480"/>
        <w:rPr>
          <w:lang w:eastAsia="zh-CN"/>
        </w:rPr>
      </w:pPr>
      <w:r>
        <w:rPr>
          <w:lang w:eastAsia="zh-CN"/>
        </w:rPr>
        <w:t>与之相反的是，对计算机而言，其结果由特定的一系列计算得出。显然地，在计算过程不变的情况下，同样的数据输入，其结果是一定不变的。</w:t>
      </w:r>
    </w:p>
    <w:p w:rsidR="004A55DD" w:rsidRDefault="00FC3E01">
      <w:pPr>
        <w:pStyle w:val="a0"/>
        <w:ind w:firstLine="480"/>
        <w:rPr>
          <w:lang w:eastAsia="zh-CN"/>
        </w:rPr>
      </w:pPr>
      <w:r>
        <w:rPr>
          <w:lang w:eastAsia="zh-CN"/>
        </w:rPr>
        <w:t>此外，计算机能提取组织学成像的全部信息，而人</w:t>
      </w:r>
      <w:r>
        <w:rPr>
          <w:lang w:eastAsia="zh-CN"/>
        </w:rPr>
        <w:t>仅能凭经验观察特定区域。如此，组织学成像中被人忽视的数据能被计算机利用以使诊断更全面。如本研究中所用的</w:t>
      </w:r>
      <w:r>
        <w:rPr>
          <w:lang w:eastAsia="zh-CN"/>
        </w:rPr>
        <w:t>10</w:t>
      </w:r>
      <w:r>
        <w:rPr>
          <w:lang w:eastAsia="zh-CN"/>
        </w:rPr>
        <w:t>倍镜下的每一例切片成像会划分为</w:t>
      </w:r>
      <w:r>
        <w:rPr>
          <w:lang w:eastAsia="zh-CN"/>
        </w:rPr>
        <w:t>5e+05</w:t>
      </w:r>
      <w:r>
        <w:rPr>
          <w:lang w:eastAsia="zh-CN"/>
        </w:rPr>
        <w:t>张左右的</w:t>
      </w:r>
      <w:r>
        <w:rPr>
          <w:lang w:eastAsia="zh-CN"/>
        </w:rPr>
        <w:t>96*96</w:t>
      </w:r>
      <w:r>
        <w:rPr>
          <w:lang w:eastAsia="zh-CN"/>
        </w:rPr>
        <w:t>像素的小区域图像。设想</w:t>
      </w:r>
      <w:proofErr w:type="gramStart"/>
      <w:r>
        <w:rPr>
          <w:lang w:eastAsia="zh-CN"/>
        </w:rPr>
        <w:t>若人</w:t>
      </w:r>
      <w:proofErr w:type="gramEnd"/>
      <w:r>
        <w:rPr>
          <w:lang w:eastAsia="zh-CN"/>
        </w:rPr>
        <w:t>工需要</w:t>
      </w:r>
      <w:r>
        <w:rPr>
          <w:lang w:eastAsia="zh-CN"/>
        </w:rPr>
        <w:t>1</w:t>
      </w:r>
      <w:r>
        <w:rPr>
          <w:lang w:eastAsia="zh-CN"/>
        </w:rPr>
        <w:t>秒钟分析一张，则每一例需要近</w:t>
      </w:r>
      <w:r>
        <w:rPr>
          <w:lang w:eastAsia="zh-CN"/>
        </w:rPr>
        <w:t>14</w:t>
      </w:r>
      <w:r>
        <w:rPr>
          <w:lang w:eastAsia="zh-CN"/>
        </w:rPr>
        <w:t>小时。研究中共使用了</w:t>
      </w:r>
      <w:r>
        <w:rPr>
          <w:lang w:eastAsia="zh-CN"/>
        </w:rPr>
        <w:t>759</w:t>
      </w:r>
      <w:r>
        <w:rPr>
          <w:lang w:eastAsia="zh-CN"/>
        </w:rPr>
        <w:t>例病理图像，则仅图像信息提取步骤上就需要</w:t>
      </w:r>
      <w:r>
        <w:rPr>
          <w:lang w:eastAsia="zh-CN"/>
        </w:rPr>
        <w:t>10626</w:t>
      </w:r>
      <w:r>
        <w:rPr>
          <w:lang w:eastAsia="zh-CN"/>
        </w:rPr>
        <w:t>小时，即</w:t>
      </w:r>
      <w:proofErr w:type="gramStart"/>
      <w:r>
        <w:rPr>
          <w:lang w:eastAsia="zh-CN"/>
        </w:rPr>
        <w:t>442.75</w:t>
      </w:r>
      <w:r>
        <w:rPr>
          <w:lang w:eastAsia="zh-CN"/>
        </w:rPr>
        <w:t>天。即使</w:t>
      </w:r>
      <w:proofErr w:type="gramEnd"/>
      <w:r>
        <w:rPr>
          <w:lang w:eastAsia="zh-CN"/>
        </w:rPr>
        <w:t>10</w:t>
      </w:r>
      <w:r>
        <w:rPr>
          <w:lang w:eastAsia="zh-CN"/>
        </w:rPr>
        <w:t>人组成研究组，也需要不停止、不降速地工作</w:t>
      </w:r>
      <w:r>
        <w:rPr>
          <w:lang w:eastAsia="zh-CN"/>
        </w:rPr>
        <w:t>44</w:t>
      </w:r>
      <w:r>
        <w:rPr>
          <w:lang w:eastAsia="zh-CN"/>
        </w:rPr>
        <w:t>天左右方能完成信息提取。可见，人是不大可能能提取组织学成像的全部信息的。而本研究使用的计算机（见附录），在只执行一次计算且不考虑</w:t>
      </w:r>
      <w:r>
        <w:rPr>
          <w:lang w:eastAsia="zh-CN"/>
        </w:rPr>
        <w:t>I</w:t>
      </w:r>
      <w:r>
        <w:rPr>
          <w:lang w:eastAsia="zh-CN"/>
        </w:rPr>
        <w:t>/O</w:t>
      </w:r>
      <w:r>
        <w:rPr>
          <w:lang w:eastAsia="zh-CN"/>
        </w:rPr>
        <w:t>延迟的情况下，处理全部图像仅需要</w:t>
      </w:r>
      <w:r>
        <w:rPr>
          <w:lang w:eastAsia="zh-CN"/>
        </w:rPr>
        <w:t>15</w:t>
      </w:r>
      <w:r>
        <w:rPr>
          <w:lang w:eastAsia="zh-CN"/>
        </w:rPr>
        <w:t>小时。故计算机有能力胜任这类图像的大数据分析，而由人去实现是高成本而不现实的。</w:t>
      </w:r>
    </w:p>
    <w:p w:rsidR="004A55DD" w:rsidRDefault="00FC3E01">
      <w:pPr>
        <w:pStyle w:val="a0"/>
        <w:ind w:firstLine="480"/>
        <w:rPr>
          <w:lang w:eastAsia="zh-CN"/>
        </w:rPr>
      </w:pPr>
      <w:r>
        <w:rPr>
          <w:lang w:eastAsia="zh-CN"/>
        </w:rPr>
        <w:t>因此，通过计算机对组织学成像进行分析，不但能克服人工进行组织分析的缺陷，而且能提取人工进行组织分析忽略的信息。可见，应用计算机分析组织学成像以辅助医疗诊断极具前景。</w:t>
      </w:r>
    </w:p>
    <w:p w:rsidR="004A55DD" w:rsidRDefault="00FC3E01">
      <w:pPr>
        <w:pStyle w:val="30"/>
        <w:rPr>
          <w:lang w:eastAsia="zh-CN"/>
        </w:rPr>
      </w:pPr>
      <w:bookmarkStart w:id="3" w:name="现状"/>
      <w:r>
        <w:rPr>
          <w:lang w:eastAsia="zh-CN"/>
        </w:rPr>
        <w:t xml:space="preserve">1.2 </w:t>
      </w:r>
      <w:r>
        <w:rPr>
          <w:lang w:eastAsia="zh-CN"/>
        </w:rPr>
        <w:t>现状</w:t>
      </w:r>
      <w:bookmarkEnd w:id="3"/>
    </w:p>
    <w:p w:rsidR="004A55DD" w:rsidRDefault="00FC3E01">
      <w:pPr>
        <w:pStyle w:val="FirstParagraph"/>
        <w:ind w:firstLine="480"/>
        <w:rPr>
          <w:lang w:eastAsia="zh-CN"/>
        </w:rPr>
      </w:pPr>
      <w:r>
        <w:rPr>
          <w:lang w:eastAsia="zh-CN"/>
        </w:rPr>
        <w:t>目前，计算组织学成像分析受到了极大的关注。随着相关技术的进步和计算性能的提升，许多图像分析算法已经被开发用于分级，分类和鉴定多种癌症类型的淋巴结转移。</w:t>
      </w:r>
    </w:p>
    <w:p w:rsidR="004A55DD" w:rsidRDefault="00FC3E01">
      <w:pPr>
        <w:pStyle w:val="a0"/>
        <w:ind w:firstLine="480"/>
      </w:pPr>
      <w:proofErr w:type="spellStart"/>
      <w:r>
        <w:t>深度卷积神经网络（</w:t>
      </w:r>
      <w:r>
        <w:t>Deep</w:t>
      </w:r>
      <w:proofErr w:type="spellEnd"/>
      <w:r>
        <w:t xml:space="preserve"> Convolutional Ne</w:t>
      </w:r>
      <w:r>
        <w:t>ural Networks, DCNN</w:t>
      </w:r>
      <w:r>
        <w:t>）是一个重要的图像分析工具。它的出现打破了许多图像分析挑战的记录。</w:t>
      </w:r>
      <w:r>
        <w:t>DCNN</w:t>
      </w:r>
      <w:r>
        <w:t>从原始图像</w:t>
      </w:r>
      <w:r>
        <w:lastRenderedPageBreak/>
        <w:t>数据中学习预测特征的能力具有泛化性，即其不被图像类型或分析任务限制。这一特性极其利于医学图像分析。</w:t>
      </w:r>
    </w:p>
    <w:p w:rsidR="004A55DD" w:rsidRDefault="00FC3E01">
      <w:pPr>
        <w:pStyle w:val="a0"/>
        <w:ind w:firstLine="480"/>
        <w:rPr>
          <w:lang w:eastAsia="zh-CN"/>
        </w:rPr>
      </w:pPr>
      <w:proofErr w:type="spellStart"/>
      <w:r>
        <w:t>医学图像分析往往依赖于特征工程提取方法</w:t>
      </w:r>
      <w:proofErr w:type="spellEnd"/>
      <w:r>
        <w:t>。</w:t>
      </w:r>
      <w:r>
        <w:rPr>
          <w:lang w:eastAsia="zh-CN"/>
        </w:rPr>
        <w:t>如使用分割算法，明确圈定感兴趣的结构以测量一些特定的结构特征。经验上，这些特征能包含能分析病情的信息。因此，研究人员会使用这些特征的数据来训练预测患者预后的模型。与之不同的是，</w:t>
      </w:r>
      <w:r>
        <w:rPr>
          <w:lang w:eastAsia="zh-CN"/>
        </w:rPr>
        <w:t>DCNN</w:t>
      </w:r>
      <w:r>
        <w:rPr>
          <w:lang w:eastAsia="zh-CN"/>
        </w:rPr>
        <w:t>的特征学习范式是自适应学习。它能根据具体的学习目标的不同，将图像信</w:t>
      </w:r>
      <w:r>
        <w:rPr>
          <w:lang w:eastAsia="zh-CN"/>
        </w:rPr>
        <w:t>息转换为含有相应预测信息的特征。这种特征学习避免对特征提前定义带来的偏差。同时，由于分割算法的结果易受一些无关变量的影响，其很难有普遍的应用。具体而言，分割算法一般借助图像颜色或边缘等信息，而这类信息易受图像缺陷，如光斑，以及一些外界变化，如染色时间造成颜色明度的变化等的影响。在这一点上，</w:t>
      </w:r>
      <w:r>
        <w:rPr>
          <w:lang w:eastAsia="zh-CN"/>
        </w:rPr>
        <w:t>DCNN</w:t>
      </w:r>
      <w:r>
        <w:rPr>
          <w:lang w:eastAsia="zh-CN"/>
        </w:rPr>
        <w:t>极具优势，因为它不需要使用人工编写的分割算法。</w:t>
      </w:r>
    </w:p>
    <w:p w:rsidR="004A55DD" w:rsidRDefault="00FC3E01">
      <w:pPr>
        <w:pStyle w:val="a0"/>
        <w:ind w:firstLine="480"/>
        <w:rPr>
          <w:lang w:eastAsia="zh-CN"/>
        </w:rPr>
      </w:pPr>
      <w:r>
        <w:t>2018</w:t>
      </w:r>
      <w:r>
        <w:t>年，</w:t>
      </w:r>
      <w:r>
        <w:t>Google</w:t>
      </w:r>
      <w:r>
        <w:t>的</w:t>
      </w:r>
      <w:r>
        <w:t>AI</w:t>
      </w:r>
      <w:r>
        <w:t>研究部门</w:t>
      </w:r>
      <w:r>
        <w:t>Deepmind</w:t>
      </w:r>
      <w:r>
        <w:t>开发了基于</w:t>
      </w:r>
      <w:r>
        <w:t>CNN</w:t>
      </w:r>
      <w:r>
        <w:t>技术的</w:t>
      </w:r>
      <w:r>
        <w:t>NASNet</w:t>
      </w:r>
      <w:r>
        <w:t>模型。在</w:t>
      </w:r>
      <w:r>
        <w:t>ImageNet</w:t>
      </w:r>
      <w:r>
        <w:t>图像分类中，</w:t>
      </w:r>
      <w:r>
        <w:t>NASNet</w:t>
      </w:r>
      <w:r>
        <w:t>在测试集上实现了</w:t>
      </w:r>
      <w:r>
        <w:t>82.7</w:t>
      </w:r>
      <w:r>
        <w:t>％的预</w:t>
      </w:r>
      <w:r>
        <w:t>测准确度。</w:t>
      </w:r>
      <w:r>
        <w:rPr>
          <w:lang w:eastAsia="zh-CN"/>
        </w:rPr>
        <w:t>该结果超过了他们之前建立的所有模型。此外，</w:t>
      </w:r>
      <w:proofErr w:type="spellStart"/>
      <w:r>
        <w:rPr>
          <w:lang w:eastAsia="zh-CN"/>
        </w:rPr>
        <w:t>NASNet</w:t>
      </w:r>
      <w:proofErr w:type="spellEnd"/>
      <w:r>
        <w:rPr>
          <w:lang w:eastAsia="zh-CN"/>
        </w:rPr>
        <w:t>的性能比之前发布的所有模型高</w:t>
      </w:r>
      <w:r>
        <w:rPr>
          <w:lang w:eastAsia="zh-CN"/>
        </w:rPr>
        <w:t>1.2</w:t>
      </w:r>
      <w:r>
        <w:rPr>
          <w:lang w:eastAsia="zh-CN"/>
        </w:rPr>
        <w:t>％，与</w:t>
      </w:r>
      <w:r>
        <w:rPr>
          <w:lang w:eastAsia="zh-CN"/>
        </w:rPr>
        <w:t>arxiv.org</w:t>
      </w:r>
      <w:r>
        <w:rPr>
          <w:lang w:eastAsia="zh-CN"/>
        </w:rPr>
        <w:t>未公布的最佳结果相当。此外，可以调整</w:t>
      </w:r>
      <w:proofErr w:type="spellStart"/>
      <w:r>
        <w:rPr>
          <w:lang w:eastAsia="zh-CN"/>
        </w:rPr>
        <w:t>NASNet</w:t>
      </w:r>
      <w:proofErr w:type="spellEnd"/>
      <w:r>
        <w:rPr>
          <w:lang w:eastAsia="zh-CN"/>
        </w:rPr>
        <w:t>的大小以产生一系列模型，这些模型具有良好的性能，同时计算成本很低。大型</w:t>
      </w:r>
      <w:proofErr w:type="spellStart"/>
      <w:r>
        <w:rPr>
          <w:lang w:eastAsia="zh-CN"/>
        </w:rPr>
        <w:t>NASNet</w:t>
      </w:r>
      <w:proofErr w:type="spellEnd"/>
      <w:r>
        <w:rPr>
          <w:lang w:eastAsia="zh-CN"/>
        </w:rPr>
        <w:t>具有最高的准确性，同时只需要一半</w:t>
      </w:r>
      <w:r>
        <w:rPr>
          <w:lang w:eastAsia="zh-CN"/>
        </w:rPr>
        <w:t>SENet——arxiv.org</w:t>
      </w:r>
      <w:r>
        <w:rPr>
          <w:lang w:eastAsia="zh-CN"/>
        </w:rPr>
        <w:t>上报告的最佳结果</w:t>
      </w:r>
      <w:r>
        <w:rPr>
          <w:lang w:eastAsia="zh-CN"/>
        </w:rPr>
        <w:t>——</w:t>
      </w:r>
      <w:r>
        <w:rPr>
          <w:lang w:eastAsia="zh-CN"/>
        </w:rPr>
        <w:t>的计算成本。可见，</w:t>
      </w:r>
      <w:proofErr w:type="spellStart"/>
      <w:r>
        <w:rPr>
          <w:lang w:eastAsia="zh-CN"/>
        </w:rPr>
        <w:t>NASNet</w:t>
      </w:r>
      <w:proofErr w:type="spellEnd"/>
      <w:r>
        <w:rPr>
          <w:lang w:eastAsia="zh-CN"/>
        </w:rPr>
        <w:t>模型在图像分析应用上极具潜力。</w:t>
      </w:r>
    </w:p>
    <w:p w:rsidR="004A55DD" w:rsidRDefault="00FC3E01">
      <w:pPr>
        <w:pStyle w:val="a0"/>
        <w:ind w:firstLine="480"/>
        <w:rPr>
          <w:lang w:eastAsia="zh-CN"/>
        </w:rPr>
      </w:pPr>
      <w:r>
        <w:rPr>
          <w:lang w:eastAsia="zh-CN"/>
        </w:rPr>
        <w:t>虽然特征学习已逐渐成为</w:t>
      </w:r>
      <w:r>
        <w:rPr>
          <w:lang w:eastAsia="zh-CN"/>
        </w:rPr>
        <w:t>DCNN</w:t>
      </w:r>
      <w:r>
        <w:rPr>
          <w:lang w:eastAsia="zh-CN"/>
        </w:rPr>
        <w:t>的低难度任务，但在医学应用上它面临特殊的挑战。首先，训练</w:t>
      </w:r>
      <w:r>
        <w:rPr>
          <w:lang w:eastAsia="zh-CN"/>
        </w:rPr>
        <w:t>DCNN</w:t>
      </w:r>
      <w:r>
        <w:rPr>
          <w:lang w:eastAsia="zh-CN"/>
        </w:rPr>
        <w:t>需要大量标记数据。目</w:t>
      </w:r>
      <w:r>
        <w:rPr>
          <w:lang w:eastAsia="zh-CN"/>
        </w:rPr>
        <w:t>前相应的高质量数据不足限制了</w:t>
      </w:r>
      <w:r>
        <w:rPr>
          <w:lang w:eastAsia="zh-CN"/>
        </w:rPr>
        <w:t>DCNN</w:t>
      </w:r>
      <w:r>
        <w:rPr>
          <w:lang w:eastAsia="zh-CN"/>
        </w:rPr>
        <w:t>的能力。此外，</w:t>
      </w:r>
      <w:r>
        <w:rPr>
          <w:lang w:eastAsia="zh-CN"/>
        </w:rPr>
        <w:t>DCNN</w:t>
      </w:r>
      <w:r>
        <w:rPr>
          <w:lang w:eastAsia="zh-CN"/>
        </w:rPr>
        <w:t>是一个</w:t>
      </w:r>
      <w:r>
        <w:rPr>
          <w:lang w:eastAsia="zh-CN"/>
        </w:rPr>
        <w:t>“</w:t>
      </w:r>
      <w:r>
        <w:rPr>
          <w:lang w:eastAsia="zh-CN"/>
        </w:rPr>
        <w:t>黑箱</w:t>
      </w:r>
      <w:r>
        <w:rPr>
          <w:lang w:eastAsia="zh-CN"/>
        </w:rPr>
        <w:t>”</w:t>
      </w:r>
      <w:r>
        <w:rPr>
          <w:lang w:eastAsia="zh-CN"/>
        </w:rPr>
        <w:t>体系，难以进行逐步分析。因此，很难解释</w:t>
      </w:r>
      <w:r>
        <w:rPr>
          <w:lang w:eastAsia="zh-CN"/>
        </w:rPr>
        <w:t>DCNN</w:t>
      </w:r>
      <w:r>
        <w:rPr>
          <w:lang w:eastAsia="zh-CN"/>
        </w:rPr>
        <w:t>的预测机制。然而，在医学应用上，解释是必不可少的。不过，尽管如此，</w:t>
      </w:r>
      <w:r>
        <w:rPr>
          <w:lang w:eastAsia="zh-CN"/>
        </w:rPr>
        <w:t>DCNN</w:t>
      </w:r>
      <w:r>
        <w:rPr>
          <w:lang w:eastAsia="zh-CN"/>
        </w:rPr>
        <w:t>仍成功应用于各类医学图像分析。</w:t>
      </w:r>
    </w:p>
    <w:p w:rsidR="004A55DD" w:rsidRDefault="00FC3E01">
      <w:pPr>
        <w:pStyle w:val="a0"/>
        <w:ind w:firstLine="480"/>
        <w:rPr>
          <w:lang w:eastAsia="zh-CN"/>
        </w:rPr>
      </w:pPr>
      <w:r>
        <w:rPr>
          <w:lang w:eastAsia="zh-CN"/>
        </w:rPr>
        <w:t>临床中的许多重要问题涉及</w:t>
      </w:r>
      <w:bookmarkStart w:id="4" w:name="_GoBack"/>
      <w:bookmarkEnd w:id="4"/>
      <w:r>
        <w:rPr>
          <w:lang w:eastAsia="zh-CN"/>
        </w:rPr>
        <w:t>事件时间预测，如预测癌症的总生存期和病情进展时间。虽然在其他应用中取得巨大成功，深度学习还没能普遍地解决这些问题。生存分析可以被认为是二元分类问题，即以一特定时间跨度为分界，预测其生存时间是长于还是短于该时间。然而，以分类的方式进行生存分析有严重的缺陷。首先，数据</w:t>
      </w:r>
      <w:r>
        <w:rPr>
          <w:lang w:eastAsia="zh-CN"/>
        </w:rPr>
        <w:t>收集时间跨度少于这一特定时间的案例均不能被使用。同时，分类只能讨论该特定时间的生存情况，而不能模拟其他时间的生存情况。为了解决这个问题，统计学家设计了一系列</w:t>
      </w:r>
      <w:r>
        <w:rPr>
          <w:lang w:eastAsia="zh-CN"/>
        </w:rPr>
        <w:t>“</w:t>
      </w:r>
      <w:r>
        <w:rPr>
          <w:lang w:eastAsia="zh-CN"/>
        </w:rPr>
        <w:t>时间</w:t>
      </w:r>
      <w:r>
        <w:rPr>
          <w:lang w:eastAsia="zh-CN"/>
        </w:rPr>
        <w:t>-</w:t>
      </w:r>
      <w:r>
        <w:rPr>
          <w:lang w:eastAsia="zh-CN"/>
        </w:rPr>
        <w:t>事件</w:t>
      </w:r>
      <w:r>
        <w:rPr>
          <w:lang w:eastAsia="zh-CN"/>
        </w:rPr>
        <w:t>”</w:t>
      </w:r>
      <w:r>
        <w:rPr>
          <w:lang w:eastAsia="zh-CN"/>
        </w:rPr>
        <w:t>模型，如</w:t>
      </w:r>
      <w:r>
        <w:rPr>
          <w:lang w:eastAsia="zh-CN"/>
        </w:rPr>
        <w:t>Cox</w:t>
      </w:r>
      <w:r>
        <w:rPr>
          <w:lang w:eastAsia="zh-CN"/>
        </w:rPr>
        <w:t>回归模型。这类模型可以使用具有任意时间跨度的案例，并且能对任意时间点的生存率的进行估计。</w:t>
      </w:r>
    </w:p>
    <w:p w:rsidR="004A55DD" w:rsidRDefault="00FC3E01">
      <w:pPr>
        <w:pStyle w:val="a0"/>
        <w:ind w:firstLine="480"/>
        <w:rPr>
          <w:lang w:eastAsia="zh-CN"/>
        </w:rPr>
      </w:pPr>
      <w:r>
        <w:rPr>
          <w:lang w:eastAsia="zh-CN"/>
        </w:rPr>
        <w:t>在设计基于神经网络的</w:t>
      </w:r>
      <w:r>
        <w:rPr>
          <w:lang w:eastAsia="zh-CN"/>
        </w:rPr>
        <w:t>Cox</w:t>
      </w:r>
      <w:r>
        <w:rPr>
          <w:lang w:eastAsia="zh-CN"/>
        </w:rPr>
        <w:t>回归模型的早期探索中，有研究使用包含数十特征的训练集成功训练模型。然而，这种神经网络模型并不优于基本的线性</w:t>
      </w:r>
      <w:r>
        <w:rPr>
          <w:lang w:eastAsia="zh-CN"/>
        </w:rPr>
        <w:t>Cox</w:t>
      </w:r>
      <w:r>
        <w:rPr>
          <w:lang w:eastAsia="zh-CN"/>
        </w:rPr>
        <w:t>回归模型。近期，有研究使用了更先进的</w:t>
      </w:r>
      <w:r>
        <w:rPr>
          <w:lang w:eastAsia="zh-CN"/>
        </w:rPr>
        <w:t>“</w:t>
      </w:r>
      <w:r>
        <w:rPr>
          <w:lang w:eastAsia="zh-CN"/>
        </w:rPr>
        <w:t>深层</w:t>
      </w:r>
      <w:r>
        <w:rPr>
          <w:lang w:eastAsia="zh-CN"/>
        </w:rPr>
        <w:t>”</w:t>
      </w:r>
      <w:r>
        <w:rPr>
          <w:lang w:eastAsia="zh-CN"/>
        </w:rPr>
        <w:t>神经，包含多个为优化</w:t>
      </w:r>
      <w:r>
        <w:rPr>
          <w:lang w:eastAsia="zh-CN"/>
        </w:rPr>
        <w:t>Cox</w:t>
      </w:r>
      <w:r>
        <w:rPr>
          <w:lang w:eastAsia="zh-CN"/>
        </w:rPr>
        <w:t>比例风险可能性（</w:t>
      </w:r>
      <w:r>
        <w:rPr>
          <w:lang w:eastAsia="zh-CN"/>
        </w:rPr>
        <w:t>Cox pro</w:t>
      </w:r>
      <w:r>
        <w:rPr>
          <w:lang w:eastAsia="zh-CN"/>
        </w:rPr>
        <w:t>portional hazard likelihood</w:t>
      </w:r>
      <w:r>
        <w:rPr>
          <w:lang w:eastAsia="zh-CN"/>
        </w:rPr>
        <w:t>）而设计的网络层。接着，他们使用临床信息数据训练模型。这样产生的模型在预测方面具有比基本的线性</w:t>
      </w:r>
      <w:r>
        <w:rPr>
          <w:lang w:eastAsia="zh-CN"/>
        </w:rPr>
        <w:t>Cox</w:t>
      </w:r>
      <w:r>
        <w:rPr>
          <w:lang w:eastAsia="zh-CN"/>
        </w:rPr>
        <w:t>回归模型更好的表现。</w:t>
      </w:r>
    </w:p>
    <w:p w:rsidR="004A55DD" w:rsidRDefault="00FC3E01">
      <w:pPr>
        <w:pStyle w:val="a0"/>
        <w:ind w:firstLine="480"/>
        <w:rPr>
          <w:lang w:eastAsia="zh-CN"/>
        </w:rPr>
      </w:pPr>
      <w:r>
        <w:rPr>
          <w:lang w:eastAsia="zh-CN"/>
        </w:rPr>
        <w:lastRenderedPageBreak/>
        <w:t>从组织学成像直接训练癌症生存模型更为困难。这种</w:t>
      </w:r>
      <w:r>
        <w:rPr>
          <w:lang w:eastAsia="zh-CN"/>
        </w:rPr>
        <w:t>“</w:t>
      </w:r>
      <w:r>
        <w:rPr>
          <w:lang w:eastAsia="zh-CN"/>
        </w:rPr>
        <w:t>时间</w:t>
      </w:r>
      <w:r>
        <w:rPr>
          <w:lang w:eastAsia="zh-CN"/>
        </w:rPr>
        <w:t>-</w:t>
      </w:r>
      <w:r>
        <w:rPr>
          <w:lang w:eastAsia="zh-CN"/>
        </w:rPr>
        <w:t>事件</w:t>
      </w:r>
      <w:r>
        <w:rPr>
          <w:lang w:eastAsia="zh-CN"/>
        </w:rPr>
        <w:t>”</w:t>
      </w:r>
      <w:r>
        <w:rPr>
          <w:lang w:eastAsia="zh-CN"/>
        </w:rPr>
        <w:t>模型和使用</w:t>
      </w:r>
      <w:r>
        <w:rPr>
          <w:lang w:eastAsia="zh-CN"/>
        </w:rPr>
        <w:t>DCNN</w:t>
      </w:r>
      <w:r>
        <w:rPr>
          <w:lang w:eastAsia="zh-CN"/>
        </w:rPr>
        <w:t>分析组织学成像有相似的挑战，即数据量不足；也有不同的挑战，即肿瘤内异质性和特征隐蔽性。首先说明数据量不足这一相似挑战：对于图像分析而言，每个像素的特征是不仅由其独立的信息（位置，</w:t>
      </w:r>
      <w:r>
        <w:rPr>
          <w:lang w:eastAsia="zh-CN"/>
        </w:rPr>
        <w:t>RGB</w:t>
      </w:r>
      <w:r>
        <w:rPr>
          <w:lang w:eastAsia="zh-CN"/>
        </w:rPr>
        <w:t>或</w:t>
      </w:r>
      <w:r>
        <w:rPr>
          <w:lang w:eastAsia="zh-CN"/>
        </w:rPr>
        <w:t>CMYK</w:t>
      </w:r>
      <w:r>
        <w:rPr>
          <w:lang w:eastAsia="zh-CN"/>
        </w:rPr>
        <w:t>）决定，更由其所在的背景决定。整合这些背景信息需要使用卷积运算。</w:t>
      </w:r>
      <w:r>
        <w:rPr>
          <w:lang w:eastAsia="zh-CN"/>
        </w:rPr>
        <w:t>但由此建立的模型是极其复杂、巨大的</w:t>
      </w:r>
      <w:r>
        <w:rPr>
          <w:lang w:eastAsia="zh-CN"/>
        </w:rPr>
        <w:t>——</w:t>
      </w:r>
      <w:r>
        <w:rPr>
          <w:lang w:eastAsia="zh-CN"/>
        </w:rPr>
        <w:t>往往包含千万个的参数。确定这些参数需要有庞大的训练集提供数据。然而，一般能获得的数据量不能满足这一条件，如本研究使用的</w:t>
      </w:r>
      <w:r>
        <w:rPr>
          <w:lang w:eastAsia="zh-CN"/>
        </w:rPr>
        <w:t>TCGA-BRCA</w:t>
      </w:r>
      <w:r>
        <w:rPr>
          <w:lang w:eastAsia="zh-CN"/>
        </w:rPr>
        <w:t>数据库，其中仅有</w:t>
      </w:r>
      <w:r>
        <w:rPr>
          <w:lang w:eastAsia="zh-CN"/>
        </w:rPr>
        <w:t>1063</w:t>
      </w:r>
      <w:r>
        <w:rPr>
          <w:lang w:eastAsia="zh-CN"/>
        </w:rPr>
        <w:t>份案例。借鉴训练一般图像识别模型的方法，多个对组织学成像的研究使用了</w:t>
      </w:r>
      <w:r>
        <w:rPr>
          <w:lang w:eastAsia="zh-CN"/>
        </w:rPr>
        <w:t>“</w:t>
      </w:r>
      <w:r>
        <w:rPr>
          <w:lang w:eastAsia="zh-CN"/>
        </w:rPr>
        <w:t>数据增强</w:t>
      </w:r>
      <w:r>
        <w:rPr>
          <w:lang w:eastAsia="zh-CN"/>
        </w:rPr>
        <w:t>”</w:t>
      </w:r>
      <w:r>
        <w:rPr>
          <w:lang w:eastAsia="zh-CN"/>
        </w:rPr>
        <w:t>（</w:t>
      </w:r>
      <w:r>
        <w:rPr>
          <w:lang w:eastAsia="zh-CN"/>
        </w:rPr>
        <w:t>data augmentation</w:t>
      </w:r>
      <w:r>
        <w:rPr>
          <w:lang w:eastAsia="zh-CN"/>
        </w:rPr>
        <w:t>）技术以应对这个问题。该技术通过随机对原始数据进行</w:t>
      </w:r>
      <w:r>
        <w:rPr>
          <w:lang w:eastAsia="zh-CN"/>
        </w:rPr>
        <w:t>“</w:t>
      </w:r>
      <w:r>
        <w:rPr>
          <w:lang w:eastAsia="zh-CN"/>
        </w:rPr>
        <w:t>微调</w:t>
      </w:r>
      <w:r>
        <w:rPr>
          <w:lang w:eastAsia="zh-CN"/>
        </w:rPr>
        <w:t>”</w:t>
      </w:r>
      <w:r>
        <w:rPr>
          <w:lang w:eastAsia="zh-CN"/>
        </w:rPr>
        <w:t>，如改变图像的亮度、对比度以及旋转图像等，以生成新的数据，或多或少地能缓解数据量不足带来的问题。至于肿瘤内异质性这一问题则尤为独特且不易解决</w:t>
      </w:r>
      <w:r>
        <w:rPr>
          <w:lang w:eastAsia="zh-CN"/>
        </w:rPr>
        <w:t>。因为肿瘤组织通常包含一系列体现不同程度病情进展的区域。找到方法整合一个病人样本中不同区域的信息，以预测该病人的生存结果是使这类模型有效的关键。此外，与风险相关的肿瘤特征往往在组织外观的细微变化中。这些细微变化需要通过多种组织学标准检验才能发现。而人类病理学家需要多年的专业培训才能应用相应的检验去发现、解读这些细微变化。因此，至今，由组织学成像建立有效的生存模型仍极具挑战。</w:t>
      </w:r>
    </w:p>
    <w:p w:rsidR="004A55DD" w:rsidRDefault="00FC3E01">
      <w:pPr>
        <w:pStyle w:val="a0"/>
        <w:ind w:firstLine="480"/>
        <w:rPr>
          <w:lang w:eastAsia="zh-CN"/>
        </w:rPr>
      </w:pPr>
      <w:r>
        <w:rPr>
          <w:lang w:eastAsia="zh-CN"/>
        </w:rPr>
        <w:t>近期，有一神经胶质瘤相关的研究提出的基于</w:t>
      </w:r>
      <w:r>
        <w:rPr>
          <w:lang w:eastAsia="zh-CN"/>
        </w:rPr>
        <w:t>DCNN</w:t>
      </w:r>
      <w:r>
        <w:rPr>
          <w:lang w:eastAsia="zh-CN"/>
        </w:rPr>
        <w:t>的生存模型解决了上述问题。该研究通过专家分析划定筛选出神经胶质瘤图像中包含关键信息的区</w:t>
      </w:r>
      <w:r>
        <w:rPr>
          <w:lang w:eastAsia="zh-CN"/>
        </w:rPr>
        <w:t>域。然后，用这些区域以建立训练集。同时，通过对这些区域使用</w:t>
      </w:r>
      <w:r>
        <w:rPr>
          <w:lang w:eastAsia="zh-CN"/>
        </w:rPr>
        <w:t>“</w:t>
      </w:r>
      <w:r>
        <w:rPr>
          <w:lang w:eastAsia="zh-CN"/>
        </w:rPr>
        <w:t>数据增强</w:t>
      </w:r>
      <w:r>
        <w:rPr>
          <w:lang w:eastAsia="zh-CN"/>
        </w:rPr>
        <w:t>”</w:t>
      </w:r>
      <w:r>
        <w:rPr>
          <w:lang w:eastAsia="zh-CN"/>
        </w:rPr>
        <w:t>以解决数据不足问题；通过以随机选择一个样本中多个区域、选择第二大风险的预测结果代表整个样本结果的方法解决</w:t>
      </w:r>
      <w:r>
        <w:rPr>
          <w:lang w:eastAsia="zh-CN"/>
        </w:rPr>
        <w:t>“</w:t>
      </w:r>
      <w:r>
        <w:rPr>
          <w:lang w:eastAsia="zh-CN"/>
        </w:rPr>
        <w:t>肿瘤内异质性</w:t>
      </w:r>
      <w:r>
        <w:rPr>
          <w:lang w:eastAsia="zh-CN"/>
        </w:rPr>
        <w:t>”</w:t>
      </w:r>
      <w:r>
        <w:rPr>
          <w:lang w:eastAsia="zh-CN"/>
        </w:rPr>
        <w:t>问题；通过以</w:t>
      </w:r>
      <w:r>
        <w:rPr>
          <w:lang w:eastAsia="zh-CN"/>
        </w:rPr>
        <w:t>19</w:t>
      </w:r>
      <w:r>
        <w:rPr>
          <w:lang w:eastAsia="zh-CN"/>
        </w:rPr>
        <w:t>层视觉几何组（</w:t>
      </w:r>
      <w:r>
        <w:rPr>
          <w:lang w:eastAsia="zh-CN"/>
        </w:rPr>
        <w:t>Visual Geometry Group, VGG</w:t>
      </w:r>
      <w:r>
        <w:rPr>
          <w:lang w:eastAsia="zh-CN"/>
        </w:rPr>
        <w:t>）卷积网络架构建立庞大模型解决</w:t>
      </w:r>
      <w:r>
        <w:rPr>
          <w:lang w:eastAsia="zh-CN"/>
        </w:rPr>
        <w:t>“</w:t>
      </w:r>
      <w:r>
        <w:rPr>
          <w:lang w:eastAsia="zh-CN"/>
        </w:rPr>
        <w:t>特征隐蔽</w:t>
      </w:r>
      <w:r>
        <w:rPr>
          <w:lang w:eastAsia="zh-CN"/>
        </w:rPr>
        <w:t>”</w:t>
      </w:r>
      <w:r>
        <w:rPr>
          <w:lang w:eastAsia="zh-CN"/>
        </w:rPr>
        <w:t>这一问题。研究实现了</w:t>
      </w:r>
      <w:r>
        <w:rPr>
          <w:lang w:eastAsia="zh-CN"/>
        </w:rPr>
        <w:t xml:space="preserve">0.741 </w:t>
      </w:r>
      <w:r>
        <w:rPr>
          <w:lang w:eastAsia="zh-CN"/>
        </w:rPr>
        <w:t>一致性指数（</w:t>
      </w:r>
      <w:r>
        <w:rPr>
          <w:lang w:eastAsia="zh-CN"/>
        </w:rPr>
        <w:t>concordance index, c index</w:t>
      </w:r>
      <w:r>
        <w:rPr>
          <w:lang w:eastAsia="zh-CN"/>
        </w:rPr>
        <w:t>），高于所有之前类似研究的结果。不仅如此，其准确性甚至超过了人类专家使用相应临床分类标准得到的预测。然</w:t>
      </w:r>
      <w:r>
        <w:rPr>
          <w:lang w:eastAsia="zh-CN"/>
        </w:rPr>
        <w:t>而，训练该模型需要专家先对图像进行划分。同时，由于该模型庞大，其不易在当前的个人计算机上训练及使用。</w:t>
      </w:r>
    </w:p>
    <w:p w:rsidR="004A55DD" w:rsidRDefault="00FC3E01">
      <w:pPr>
        <w:pStyle w:val="30"/>
        <w:rPr>
          <w:lang w:eastAsia="zh-CN"/>
        </w:rPr>
      </w:pPr>
      <w:bookmarkStart w:id="5" w:name="亮点"/>
      <w:r>
        <w:rPr>
          <w:lang w:eastAsia="zh-CN"/>
        </w:rPr>
        <w:t xml:space="preserve">1.3 </w:t>
      </w:r>
      <w:r>
        <w:rPr>
          <w:lang w:eastAsia="zh-CN"/>
        </w:rPr>
        <w:t>亮点</w:t>
      </w:r>
      <w:bookmarkEnd w:id="5"/>
    </w:p>
    <w:p w:rsidR="004A55DD" w:rsidRDefault="00FC3E01">
      <w:pPr>
        <w:pStyle w:val="FirstParagraph"/>
        <w:ind w:firstLine="480"/>
        <w:rPr>
          <w:lang w:eastAsia="zh-CN"/>
        </w:rPr>
      </w:pPr>
      <w:r>
        <w:rPr>
          <w:lang w:eastAsia="zh-CN"/>
        </w:rPr>
        <w:t>本文提出一种基于</w:t>
      </w:r>
      <w:proofErr w:type="spellStart"/>
      <w:r>
        <w:rPr>
          <w:lang w:eastAsia="zh-CN"/>
        </w:rPr>
        <w:t>Nasnet</w:t>
      </w:r>
      <w:proofErr w:type="spellEnd"/>
      <w:r>
        <w:rPr>
          <w:lang w:eastAsia="zh-CN"/>
        </w:rPr>
        <w:t>的乳腺癌生存神经网络模型（</w:t>
      </w:r>
      <w:r>
        <w:rPr>
          <w:lang w:eastAsia="zh-CN"/>
        </w:rPr>
        <w:t>SNAS</w:t>
      </w:r>
      <w:r>
        <w:rPr>
          <w:lang w:eastAsia="zh-CN"/>
        </w:rPr>
        <w:t>）。它能分析乳腺癌组织学成像提供较为准确的</w:t>
      </w:r>
      <w:r>
        <w:rPr>
          <w:lang w:eastAsia="zh-CN"/>
        </w:rPr>
        <w:t>“</w:t>
      </w:r>
      <w:r>
        <w:rPr>
          <w:lang w:eastAsia="zh-CN"/>
        </w:rPr>
        <w:t>时间</w:t>
      </w:r>
      <w:r>
        <w:rPr>
          <w:lang w:eastAsia="zh-CN"/>
        </w:rPr>
        <w:t>-</w:t>
      </w:r>
      <w:r>
        <w:rPr>
          <w:lang w:eastAsia="zh-CN"/>
        </w:rPr>
        <w:t>事件</w:t>
      </w:r>
      <w:r>
        <w:rPr>
          <w:lang w:eastAsia="zh-CN"/>
        </w:rPr>
        <w:t>”</w:t>
      </w:r>
      <w:r>
        <w:rPr>
          <w:lang w:eastAsia="zh-CN"/>
        </w:rPr>
        <w:t>，即生存预测。该模型与使用专家分析同样图像提取的特征建立的生存分析模型能达到基本相当的表现，同时，该模型能由文中搭建的全自动的由</w:t>
      </w:r>
      <w:r>
        <w:rPr>
          <w:lang w:eastAsia="zh-CN"/>
        </w:rPr>
        <w:t>.</w:t>
      </w:r>
      <w:proofErr w:type="spellStart"/>
      <w:r>
        <w:rPr>
          <w:lang w:eastAsia="zh-CN"/>
        </w:rPr>
        <w:t>svs</w:t>
      </w:r>
      <w:proofErr w:type="spellEnd"/>
      <w:proofErr w:type="gramStart"/>
      <w:r>
        <w:rPr>
          <w:lang w:eastAsia="zh-CN"/>
        </w:rPr>
        <w:t>病理切片图像到生存模型的</w:t>
      </w:r>
      <w:r>
        <w:rPr>
          <w:lang w:eastAsia="zh-CN"/>
        </w:rPr>
        <w:t>“</w:t>
      </w:r>
      <w:proofErr w:type="gramEnd"/>
      <w:r>
        <w:rPr>
          <w:lang w:eastAsia="zh-CN"/>
        </w:rPr>
        <w:t>端到端</w:t>
      </w:r>
      <w:r>
        <w:rPr>
          <w:lang w:eastAsia="zh-CN"/>
        </w:rPr>
        <w:t>”</w:t>
      </w:r>
      <w:r>
        <w:rPr>
          <w:lang w:eastAsia="zh-CN"/>
        </w:rPr>
        <w:t>系统生成。该系统由分割，提取，训练三部分构成。每一个部分均无需人为介入。此外，该模型大小中等，</w:t>
      </w:r>
      <w:r>
        <w:rPr>
          <w:lang w:eastAsia="zh-CN"/>
        </w:rPr>
        <w:t>7.24e+0</w:t>
      </w:r>
      <w:r>
        <w:rPr>
          <w:lang w:eastAsia="zh-CN"/>
        </w:rPr>
        <w:t>7</w:t>
      </w:r>
      <w:r>
        <w:rPr>
          <w:lang w:eastAsia="zh-CN"/>
        </w:rPr>
        <w:t>个参数，其中</w:t>
      </w:r>
      <w:r>
        <w:rPr>
          <w:lang w:eastAsia="zh-CN"/>
        </w:rPr>
        <w:t>4.26e+07</w:t>
      </w:r>
      <w:r>
        <w:rPr>
          <w:lang w:eastAsia="zh-CN"/>
        </w:rPr>
        <w:t>个参数为</w:t>
      </w:r>
      <w:proofErr w:type="spellStart"/>
      <w:r>
        <w:rPr>
          <w:lang w:eastAsia="zh-CN"/>
        </w:rPr>
        <w:t>Nasnet</w:t>
      </w:r>
      <w:proofErr w:type="spellEnd"/>
      <w:r>
        <w:rPr>
          <w:lang w:eastAsia="zh-CN"/>
        </w:rPr>
        <w:t>以迁移</w:t>
      </w:r>
      <w:r>
        <w:rPr>
          <w:lang w:eastAsia="zh-CN"/>
        </w:rPr>
        <w:t>Kaggle</w:t>
      </w:r>
      <w:r>
        <w:rPr>
          <w:lang w:eastAsia="zh-CN"/>
        </w:rPr>
        <w:t>数据训练，故实际需要计算的参数量仅为</w:t>
      </w:r>
      <w:r>
        <w:rPr>
          <w:lang w:eastAsia="zh-CN"/>
        </w:rPr>
        <w:t>2.97e+07</w:t>
      </w:r>
      <w:r>
        <w:rPr>
          <w:lang w:eastAsia="zh-CN"/>
        </w:rPr>
        <w:t>个。</w:t>
      </w:r>
    </w:p>
    <w:p w:rsidR="004A55DD" w:rsidRDefault="00FC3E01">
      <w:pPr>
        <w:pStyle w:val="20"/>
        <w:rPr>
          <w:lang w:eastAsia="zh-CN"/>
        </w:rPr>
      </w:pPr>
      <w:bookmarkStart w:id="6" w:name="数据来源"/>
      <w:r>
        <w:rPr>
          <w:lang w:eastAsia="zh-CN"/>
        </w:rPr>
        <w:lastRenderedPageBreak/>
        <w:t xml:space="preserve">2 </w:t>
      </w:r>
      <w:r>
        <w:rPr>
          <w:lang w:eastAsia="zh-CN"/>
        </w:rPr>
        <w:t>数据来源</w:t>
      </w:r>
      <w:bookmarkEnd w:id="6"/>
    </w:p>
    <w:p w:rsidR="004A55DD" w:rsidRDefault="00FC3E01">
      <w:pPr>
        <w:pStyle w:val="30"/>
        <w:rPr>
          <w:lang w:eastAsia="zh-CN"/>
        </w:rPr>
      </w:pPr>
      <w:bookmarkStart w:id="7" w:name="癌症基因组图谱"/>
      <w:r>
        <w:rPr>
          <w:lang w:eastAsia="zh-CN"/>
        </w:rPr>
        <w:t xml:space="preserve">2.1 </w:t>
      </w:r>
      <w:r>
        <w:rPr>
          <w:lang w:eastAsia="zh-CN"/>
        </w:rPr>
        <w:t>癌症基因组图谱</w:t>
      </w:r>
      <w:bookmarkEnd w:id="7"/>
    </w:p>
    <w:p w:rsidR="004A55DD" w:rsidRDefault="00FC3E01">
      <w:pPr>
        <w:pStyle w:val="FirstParagraph"/>
        <w:ind w:firstLine="480"/>
        <w:rPr>
          <w:lang w:eastAsia="zh-CN"/>
        </w:rPr>
      </w:pPr>
      <w:r>
        <w:rPr>
          <w:lang w:eastAsia="zh-CN"/>
        </w:rPr>
        <w:t>癌症基因组图谱（</w:t>
      </w:r>
      <w:r>
        <w:rPr>
          <w:lang w:eastAsia="zh-CN"/>
        </w:rPr>
        <w:t>The Cancer Genome Atlas, TCGA</w:t>
      </w:r>
      <w:r>
        <w:rPr>
          <w:lang w:eastAsia="zh-CN"/>
        </w:rPr>
        <w:t>）是一始于</w:t>
      </w:r>
      <w:r>
        <w:rPr>
          <w:lang w:eastAsia="zh-CN"/>
        </w:rPr>
        <w:t>2005</w:t>
      </w:r>
      <w:r>
        <w:rPr>
          <w:lang w:eastAsia="zh-CN"/>
        </w:rPr>
        <w:t>年的项目。其主要工作是使用基因组测序和生物信息学对癌症相关的基因突变进行编目。如此，其通过应用高通量基因组分析技术，能帮助医疗工作者了解癌症的遗传基础，以提高医疗工作者诊断，治疗和预防癌症的能力。</w:t>
      </w:r>
    </w:p>
    <w:p w:rsidR="004A55DD" w:rsidRDefault="00FC3E01">
      <w:pPr>
        <w:pStyle w:val="a0"/>
        <w:ind w:firstLine="480"/>
        <w:rPr>
          <w:lang w:eastAsia="zh-CN"/>
        </w:rPr>
      </w:pPr>
      <w:proofErr w:type="spellStart"/>
      <w:r>
        <w:t>TCGA</w:t>
      </w:r>
      <w:r>
        <w:t>隶属于美国国立卫生研究院（</w:t>
      </w:r>
      <w:r>
        <w:t>National</w:t>
      </w:r>
      <w:proofErr w:type="spellEnd"/>
      <w:r>
        <w:t xml:space="preserve"> Ins</w:t>
      </w:r>
      <w:r>
        <w:t>titutes of Health, NIH</w:t>
      </w:r>
      <w:r>
        <w:t>）的国家癌症研究所（</w:t>
      </w:r>
      <w:r>
        <w:t>National Cancer Institute</w:t>
      </w:r>
      <w:r>
        <w:t>，</w:t>
      </w:r>
      <w:r>
        <w:t xml:space="preserve"> NCI</w:t>
      </w:r>
      <w:r>
        <w:t>）的癌症基因组学中心。同时，</w:t>
      </w:r>
      <w:r>
        <w:t>TCGA</w:t>
      </w:r>
      <w:r>
        <w:t>与</w:t>
      </w:r>
      <w:r>
        <w:t>NCI</w:t>
      </w:r>
      <w:r>
        <w:t>的基因组数据共享（</w:t>
      </w:r>
      <w:r>
        <w:t>Genomic Data Commons, GDC</w:t>
      </w:r>
      <w:r>
        <w:t>）</w:t>
      </w:r>
      <w:proofErr w:type="spellStart"/>
      <w:r>
        <w:t>研究计划并行。</w:t>
      </w:r>
      <w:r>
        <w:rPr>
          <w:lang w:eastAsia="zh-CN"/>
        </w:rPr>
        <w:t>GDC</w:t>
      </w:r>
      <w:proofErr w:type="spellEnd"/>
      <w:r>
        <w:rPr>
          <w:lang w:eastAsia="zh-CN"/>
        </w:rPr>
        <w:t>为癌症研究界提供了统一的数据存储库。凭此，</w:t>
      </w:r>
      <w:r>
        <w:rPr>
          <w:lang w:eastAsia="zh-CN"/>
        </w:rPr>
        <w:t>GDC</w:t>
      </w:r>
      <w:r>
        <w:rPr>
          <w:lang w:eastAsia="zh-CN"/>
        </w:rPr>
        <w:t>实现了癌症基因组研究中的数据共享，促进了精准医疗的发展。当前，大量癌症图像分析相关的研究应用其中的影像数据。</w:t>
      </w:r>
    </w:p>
    <w:p w:rsidR="004A55DD" w:rsidRDefault="00FC3E01">
      <w:pPr>
        <w:pStyle w:val="a0"/>
        <w:ind w:firstLine="480"/>
      </w:pPr>
      <w:r>
        <w:t>本文的影像数据均来自</w:t>
      </w:r>
      <w:r>
        <w:t>GDC</w:t>
      </w:r>
      <w:r>
        <w:t>中</w:t>
      </w:r>
      <w:r>
        <w:t>TCGA-BRCA</w:t>
      </w:r>
      <w:proofErr w:type="gramStart"/>
      <w:r>
        <w:t>项目的数据</w:t>
      </w:r>
      <w:r>
        <w:t>,</w:t>
      </w:r>
      <w:r>
        <w:t>可由此</w:t>
      </w:r>
      <w:proofErr w:type="gramEnd"/>
      <w:r>
        <w:fldChar w:fldCharType="begin"/>
      </w:r>
      <w:r>
        <w:instrText xml:space="preserve"> HYPERLINK "ht</w:instrText>
      </w:r>
      <w:r>
        <w:instrText xml:space="preserve">tps://portal.gdc.cancer.gov/projects/TCGA-BRCA" \h </w:instrText>
      </w:r>
      <w:r>
        <w:fldChar w:fldCharType="separate"/>
      </w:r>
      <w:r>
        <w:rPr>
          <w:rStyle w:val="ae"/>
        </w:rPr>
        <w:t>https://portal.gdc.cancer.gov/projects/TCGA-BRCA</w:t>
      </w:r>
      <w:r>
        <w:rPr>
          <w:rStyle w:val="ae"/>
        </w:rPr>
        <w:fldChar w:fldCharType="end"/>
      </w:r>
      <w:r>
        <w:t>访问。</w:t>
      </w:r>
    </w:p>
    <w:p w:rsidR="004A55DD" w:rsidRDefault="00FC3E01">
      <w:pPr>
        <w:pStyle w:val="30"/>
      </w:pPr>
      <w:bookmarkStart w:id="8" w:name="切片选择"/>
      <w:r>
        <w:t xml:space="preserve">2.2 </w:t>
      </w:r>
      <w:r>
        <w:t>切片选择</w:t>
      </w:r>
      <w:bookmarkEnd w:id="8"/>
    </w:p>
    <w:p w:rsidR="004A55DD" w:rsidRDefault="00FC3E01">
      <w:pPr>
        <w:pStyle w:val="FirstParagraph"/>
        <w:ind w:firstLine="480"/>
      </w:pPr>
      <w:r>
        <w:t>TCGA-BRCA</w:t>
      </w:r>
      <w:r>
        <w:t>提供快速冷冻（</w:t>
      </w:r>
      <w:r>
        <w:t>Flash Frozen</w:t>
      </w:r>
      <w:r>
        <w:t>）和福尔马林固定石蜡包埋（</w:t>
      </w:r>
      <w:r>
        <w:t>Formalin-Fixed Paraffin-Embedded, FFPE</w:t>
      </w:r>
      <w:r>
        <w:t>）这两种类型的切片影像。</w:t>
      </w:r>
    </w:p>
    <w:p w:rsidR="004A55DD" w:rsidRDefault="00FC3E01">
      <w:pPr>
        <w:pStyle w:val="a0"/>
        <w:ind w:firstLine="480"/>
        <w:rPr>
          <w:lang w:eastAsia="zh-CN"/>
        </w:rPr>
      </w:pPr>
      <w:r>
        <w:rPr>
          <w:lang w:eastAsia="zh-CN"/>
        </w:rPr>
        <w:t>快速冷冻样品通常在手术期间在冷冻液中制作</w:t>
      </w:r>
      <w:r>
        <w:t>，</w:t>
      </w:r>
      <w:proofErr w:type="spellStart"/>
      <w:r>
        <w:t>主要用于帮助外科医生确定肿瘤的边界是否清洁（即，肿瘤是否已在</w:t>
      </w:r>
      <w:r>
        <w:t>手术中被完全切除</w:t>
      </w:r>
      <w:proofErr w:type="spellEnd"/>
      <w:r>
        <w:t>）。</w:t>
      </w:r>
      <w:r>
        <w:rPr>
          <w:lang w:eastAsia="zh-CN"/>
        </w:rPr>
        <w:t>快速冷冻是一种快速且简单的过程，但经常会使组织受损，使其外观呈多孔状。于是，相应的，快速冷冻图像中与肿瘤相关的关键信息很可能已经丢失；</w:t>
      </w:r>
      <w:r>
        <w:rPr>
          <w:lang w:eastAsia="zh-CN"/>
        </w:rPr>
        <w:t>FFPE</w:t>
      </w:r>
      <w:r>
        <w:rPr>
          <w:lang w:eastAsia="zh-CN"/>
        </w:rPr>
        <w:t>切片是诊断医学的金标准。</w:t>
      </w:r>
      <w:r>
        <w:rPr>
          <w:lang w:eastAsia="zh-CN"/>
        </w:rPr>
        <w:t>FFPE</w:t>
      </w:r>
      <w:r>
        <w:rPr>
          <w:lang w:eastAsia="zh-CN"/>
        </w:rPr>
        <w:t>的制作需要先将样本固定在甲醛中，然后将其嵌入石蜡块中进行切割。它呈现的组织更为完整，使其更适合应用于计算分析。因此，本研究仅选择使用</w:t>
      </w:r>
      <w:r>
        <w:rPr>
          <w:lang w:eastAsia="zh-CN"/>
        </w:rPr>
        <w:t>FFPE</w:t>
      </w:r>
      <w:r>
        <w:rPr>
          <w:lang w:eastAsia="zh-CN"/>
        </w:rPr>
        <w:t>类型的数字影像数据。</w:t>
      </w:r>
    </w:p>
    <w:p w:rsidR="004A55DD" w:rsidRDefault="00FC3E01">
      <w:pPr>
        <w:pStyle w:val="30"/>
        <w:rPr>
          <w:lang w:eastAsia="zh-CN"/>
        </w:rPr>
      </w:pPr>
      <w:bookmarkStart w:id="9" w:name="专家识别特征"/>
      <w:r>
        <w:rPr>
          <w:lang w:eastAsia="zh-CN"/>
        </w:rPr>
        <w:t xml:space="preserve">2.3 </w:t>
      </w:r>
      <w:r>
        <w:rPr>
          <w:lang w:eastAsia="zh-CN"/>
        </w:rPr>
        <w:t>专家识别特征</w:t>
      </w:r>
      <w:bookmarkEnd w:id="9"/>
    </w:p>
    <w:p w:rsidR="004A55DD" w:rsidRDefault="00FC3E01">
      <w:pPr>
        <w:pStyle w:val="FirstParagraph"/>
        <w:ind w:firstLine="480"/>
        <w:rPr>
          <w:lang w:eastAsia="zh-CN"/>
        </w:rPr>
      </w:pPr>
      <w:r>
        <w:rPr>
          <w:lang w:eastAsia="zh-CN"/>
        </w:rPr>
        <w:t>本文使用的专家识别特征数据库来自于近年发表的某一对乳腺癌形态学及相应分子机制的研究。在该研究中，</w:t>
      </w:r>
      <w:r>
        <w:rPr>
          <w:lang w:eastAsia="zh-CN"/>
        </w:rPr>
        <w:t>15</w:t>
      </w:r>
      <w:r>
        <w:rPr>
          <w:lang w:eastAsia="zh-CN"/>
        </w:rPr>
        <w:t>名病理学家从</w:t>
      </w:r>
      <w:r>
        <w:rPr>
          <w:lang w:eastAsia="zh-CN"/>
        </w:rPr>
        <w:t>TCGA-BRCA</w:t>
      </w:r>
      <w:r>
        <w:rPr>
          <w:lang w:eastAsia="zh-CN"/>
        </w:rPr>
        <w:t>获得图像数据对</w:t>
      </w:r>
      <w:r>
        <w:rPr>
          <w:lang w:eastAsia="zh-CN"/>
        </w:rPr>
        <w:t>850</w:t>
      </w:r>
      <w:r>
        <w:rPr>
          <w:lang w:eastAsia="zh-CN"/>
        </w:rPr>
        <w:t>例侵入性乳腺癌案例进行了组织病理学分析。他们评估了</w:t>
      </w:r>
      <w:r>
        <w:rPr>
          <w:lang w:eastAsia="zh-CN"/>
        </w:rPr>
        <w:t>11</w:t>
      </w:r>
      <w:r>
        <w:rPr>
          <w:lang w:eastAsia="zh-CN"/>
        </w:rPr>
        <w:t>项形态学特征，包括组织学分级：上皮小管形成（</w:t>
      </w:r>
      <w:r>
        <w:rPr>
          <w:lang w:eastAsia="zh-CN"/>
        </w:rPr>
        <w:t>Epithelial Tubule Formation</w:t>
      </w:r>
      <w:r>
        <w:rPr>
          <w:lang w:eastAsia="zh-CN"/>
        </w:rPr>
        <w:t>），核多形性（</w:t>
      </w:r>
      <w:r>
        <w:rPr>
          <w:lang w:eastAsia="zh-CN"/>
        </w:rPr>
        <w:t>Nuclear Pleomorphism</w:t>
      </w:r>
      <w:r>
        <w:rPr>
          <w:lang w:eastAsia="zh-CN"/>
        </w:rPr>
        <w:t>），有丝分裂数量（</w:t>
      </w:r>
      <w:r>
        <w:rPr>
          <w:lang w:eastAsia="zh-CN"/>
        </w:rPr>
        <w:t>Mitotic Count</w:t>
      </w:r>
      <w:r>
        <w:rPr>
          <w:lang w:eastAsia="zh-CN"/>
        </w:rPr>
        <w:t>）；原位癌情况：导管原位癌（</w:t>
      </w:r>
      <w:r>
        <w:rPr>
          <w:lang w:eastAsia="zh-CN"/>
        </w:rPr>
        <w:t>Ductal Carcinoma in Situ, DCIS</w:t>
      </w:r>
      <w:r>
        <w:rPr>
          <w:lang w:eastAsia="zh-CN"/>
        </w:rPr>
        <w:t>），小叶原位癌（</w:t>
      </w:r>
      <w:r>
        <w:rPr>
          <w:lang w:eastAsia="zh-CN"/>
        </w:rPr>
        <w:t>Lobu</w:t>
      </w:r>
      <w:r>
        <w:rPr>
          <w:lang w:eastAsia="zh-CN"/>
        </w:rPr>
        <w:t>lar Carcinoma in Situ, LCIS</w:t>
      </w:r>
      <w:r>
        <w:rPr>
          <w:lang w:eastAsia="zh-CN"/>
        </w:rPr>
        <w:t>）；其他特征：基质炎症（</w:t>
      </w:r>
      <w:r>
        <w:rPr>
          <w:lang w:eastAsia="zh-CN"/>
        </w:rPr>
        <w:t>Stromal Inflammation</w:t>
      </w:r>
      <w:r>
        <w:rPr>
          <w:lang w:eastAsia="zh-CN"/>
        </w:rPr>
        <w:t>），坏疽（</w:t>
      </w:r>
      <w:r>
        <w:rPr>
          <w:lang w:eastAsia="zh-CN"/>
        </w:rPr>
        <w:t>Necrosis</w:t>
      </w:r>
      <w:r>
        <w:rPr>
          <w:lang w:eastAsia="zh-CN"/>
        </w:rPr>
        <w:t>），上皮癌百分比（</w:t>
      </w:r>
      <w:r>
        <w:rPr>
          <w:lang w:eastAsia="zh-CN"/>
        </w:rPr>
        <w:t>% Cancerous Epithelium</w:t>
      </w:r>
      <w:r>
        <w:rPr>
          <w:lang w:eastAsia="zh-CN"/>
        </w:rPr>
        <w:t>），大汗腺特征（</w:t>
      </w:r>
      <w:r>
        <w:rPr>
          <w:lang w:eastAsia="zh-CN"/>
        </w:rPr>
        <w:t>Apocrine Features</w:t>
      </w:r>
      <w:r>
        <w:rPr>
          <w:lang w:eastAsia="zh-CN"/>
        </w:rPr>
        <w:t>），淋巴血管侵入（</w:t>
      </w:r>
      <w:proofErr w:type="spellStart"/>
      <w:r>
        <w:rPr>
          <w:lang w:eastAsia="zh-CN"/>
        </w:rPr>
        <w:t>Lymphovascular</w:t>
      </w:r>
      <w:proofErr w:type="spellEnd"/>
      <w:r>
        <w:rPr>
          <w:lang w:eastAsia="zh-CN"/>
        </w:rPr>
        <w:t xml:space="preserve"> Invasion</w:t>
      </w:r>
      <w:r>
        <w:rPr>
          <w:lang w:eastAsia="zh-CN"/>
        </w:rPr>
        <w:t>），基质中央纤维化聚集（</w:t>
      </w:r>
      <w:r>
        <w:rPr>
          <w:lang w:eastAsia="zh-CN"/>
        </w:rPr>
        <w:t>Stromal Central Fibrotic Focus</w:t>
      </w:r>
      <w:r>
        <w:rPr>
          <w:lang w:eastAsia="zh-CN"/>
        </w:rPr>
        <w:t>）。所有评估结果均通过相互评估（</w:t>
      </w:r>
      <w:r>
        <w:rPr>
          <w:lang w:eastAsia="zh-CN"/>
        </w:rPr>
        <w:t>Inter-rater Reliability</w:t>
      </w:r>
      <w:r>
        <w:rPr>
          <w:lang w:eastAsia="zh-CN"/>
        </w:rPr>
        <w:t>）检验。</w:t>
      </w:r>
    </w:p>
    <w:p w:rsidR="004A55DD" w:rsidRDefault="00FC3E01">
      <w:pPr>
        <w:pStyle w:val="a0"/>
        <w:ind w:firstLine="480"/>
        <w:rPr>
          <w:lang w:eastAsia="zh-CN"/>
        </w:rPr>
      </w:pPr>
      <w:r>
        <w:rPr>
          <w:lang w:eastAsia="zh-CN"/>
        </w:rPr>
        <w:lastRenderedPageBreak/>
        <w:t>本研究使用的专家识别</w:t>
      </w:r>
      <w:r>
        <w:rPr>
          <w:lang w:eastAsia="zh-CN"/>
        </w:rPr>
        <w:t>特征信息均可</w:t>
      </w:r>
      <w:r>
        <w:rPr>
          <w:lang w:eastAsia="zh-CN"/>
        </w:rPr>
        <w:t>于</w:t>
      </w:r>
      <w:hyperlink r:id="rId7" w:history="1">
        <w:r w:rsidR="00FD5072" w:rsidRPr="00A80F91">
          <w:rPr>
            <w:rStyle w:val="ae"/>
            <w:lang w:eastAsia="zh-CN"/>
          </w:rPr>
          <w:t>http://legacy.dx.ai/tcga_breast/annotations.html</w:t>
        </w:r>
      </w:hyperlink>
      <w:r>
        <w:rPr>
          <w:lang w:eastAsia="zh-CN"/>
        </w:rPr>
        <w:t>获得。</w:t>
      </w:r>
    </w:p>
    <w:p w:rsidR="004A55DD" w:rsidRDefault="00FC3E01">
      <w:pPr>
        <w:pStyle w:val="20"/>
        <w:rPr>
          <w:lang w:eastAsia="zh-CN"/>
        </w:rPr>
      </w:pPr>
      <w:bookmarkStart w:id="10" w:name="实验内容"/>
      <w:r>
        <w:rPr>
          <w:lang w:eastAsia="zh-CN"/>
        </w:rPr>
        <w:t xml:space="preserve">3 </w:t>
      </w:r>
      <w:r>
        <w:rPr>
          <w:lang w:eastAsia="zh-CN"/>
        </w:rPr>
        <w:t>实验内容</w:t>
      </w:r>
      <w:bookmarkEnd w:id="10"/>
    </w:p>
    <w:p w:rsidR="004A55DD" w:rsidRDefault="00FC3E01">
      <w:pPr>
        <w:pStyle w:val="FirstParagraph"/>
        <w:ind w:firstLine="480"/>
      </w:pPr>
      <w:r>
        <w:rPr>
          <w:lang w:eastAsia="zh-CN"/>
        </w:rPr>
        <w:t>总体的实验流程如下图。我们先以专家识别特征建立</w:t>
      </w:r>
      <w:r>
        <w:rPr>
          <w:lang w:eastAsia="zh-CN"/>
        </w:rPr>
        <w:t>Cox HP</w:t>
      </w:r>
      <w:r>
        <w:rPr>
          <w:lang w:eastAsia="zh-CN"/>
        </w:rPr>
        <w:t>模型得到参照基本线（</w:t>
      </w:r>
      <w:r>
        <w:rPr>
          <w:lang w:eastAsia="zh-CN"/>
        </w:rPr>
        <w:t>baseline</w:t>
      </w:r>
      <w:r>
        <w:rPr>
          <w:lang w:eastAsia="zh-CN"/>
        </w:rPr>
        <w:t>）。之后，我们对初始切片图进行区域分割及预筛选。在训练得到</w:t>
      </w:r>
      <w:proofErr w:type="spellStart"/>
      <w:r>
        <w:rPr>
          <w:lang w:eastAsia="zh-CN"/>
        </w:rPr>
        <w:t>NASNet</w:t>
      </w:r>
      <w:proofErr w:type="spellEnd"/>
      <w:r>
        <w:rPr>
          <w:lang w:eastAsia="zh-CN"/>
        </w:rPr>
        <w:t>分类器后，使用该分类器对区域再次进行筛选。接着，我们将筛选区域作为样本内容，采用</w:t>
      </w:r>
      <w:r>
        <w:rPr>
          <w:lang w:eastAsia="zh-CN"/>
        </w:rPr>
        <w:t>包括迁移学习在内的一系列方法对生存模型进行训练。</w:t>
      </w:r>
      <w:proofErr w:type="spellStart"/>
      <w:r>
        <w:t>最后对生存模型进行相应的优化和评估</w:t>
      </w:r>
      <w:proofErr w:type="spellEnd"/>
      <w:r>
        <w:t>。</w:t>
      </w:r>
    </w:p>
    <w:p w:rsidR="008E156B" w:rsidRDefault="00FC3E01" w:rsidP="008E156B">
      <w:pPr>
        <w:pStyle w:val="CaptionedFigure"/>
      </w:pPr>
      <w:r>
        <w:rPr>
          <w:noProof/>
        </w:rPr>
        <w:drawing>
          <wp:inline distT="0" distB="0" distL="0" distR="0">
            <wp:extent cx="5334000" cy="2820736"/>
            <wp:effectExtent l="0" t="0" r="0" b="0"/>
            <wp:docPr id="1" name="Picture" descr="chartflow" title="实验流程图"/>
            <wp:cNvGraphicFramePr/>
            <a:graphic xmlns:a="http://schemas.openxmlformats.org/drawingml/2006/main">
              <a:graphicData uri="http://schemas.openxmlformats.org/drawingml/2006/picture">
                <pic:pic xmlns:pic="http://schemas.openxmlformats.org/drawingml/2006/picture">
                  <pic:nvPicPr>
                    <pic:cNvPr id="0" name="Picture" descr="D:\Project\Survival-Analysis-by-Breast-Cancer-Slides\imgs\chartflow.png"/>
                    <pic:cNvPicPr>
                      <a:picLocks noChangeAspect="1" noChangeArrowheads="1"/>
                    </pic:cNvPicPr>
                  </pic:nvPicPr>
                  <pic:blipFill>
                    <a:blip r:embed="rId8"/>
                    <a:stretch>
                      <a:fillRect/>
                    </a:stretch>
                  </pic:blipFill>
                  <pic:spPr bwMode="auto">
                    <a:xfrm>
                      <a:off x="0" y="0"/>
                      <a:ext cx="5334000" cy="2820736"/>
                    </a:xfrm>
                    <a:prstGeom prst="rect">
                      <a:avLst/>
                    </a:prstGeom>
                    <a:noFill/>
                    <a:ln w="9525">
                      <a:noFill/>
                      <a:headEnd/>
                      <a:tailEnd/>
                    </a:ln>
                  </pic:spPr>
                </pic:pic>
              </a:graphicData>
            </a:graphic>
          </wp:inline>
        </w:drawing>
      </w:r>
    </w:p>
    <w:p w:rsidR="004A55DD" w:rsidRDefault="008E156B" w:rsidP="008E156B">
      <w:pPr>
        <w:pStyle w:val="ab"/>
        <w:rPr>
          <w:lang w:eastAsia="zh-CN"/>
        </w:rPr>
      </w:pPr>
      <w:r>
        <w:rPr>
          <w:rFonts w:ascii="宋体" w:eastAsia="宋体" w:hAnsi="宋体" w:cs="宋体" w:hint="eastAsia"/>
          <w:lang w:eastAsia="zh-CN"/>
        </w:rPr>
        <w:t>图</w:t>
      </w:r>
      <w:r>
        <w:rPr>
          <w:lang w:eastAsia="zh-CN"/>
        </w:rPr>
        <w:t xml:space="preserve"> </w:t>
      </w:r>
      <w:r>
        <w:fldChar w:fldCharType="begin"/>
      </w:r>
      <w:r>
        <w:rPr>
          <w:lang w:eastAsia="zh-CN"/>
        </w:rPr>
        <w:instrText xml:space="preserve"> SEQ </w:instrText>
      </w:r>
      <w:r>
        <w:rPr>
          <w:lang w:eastAsia="zh-CN"/>
        </w:rPr>
        <w:instrText>图</w:instrText>
      </w:r>
      <w:r>
        <w:rPr>
          <w:lang w:eastAsia="zh-CN"/>
        </w:rPr>
        <w:instrText xml:space="preserve"> \* ARABIC </w:instrText>
      </w:r>
      <w:r>
        <w:fldChar w:fldCharType="separate"/>
      </w:r>
      <w:r>
        <w:rPr>
          <w:noProof/>
          <w:lang w:eastAsia="zh-CN"/>
        </w:rPr>
        <w:t>1</w:t>
      </w:r>
      <w:r>
        <w:fldChar w:fldCharType="end"/>
      </w:r>
    </w:p>
    <w:p w:rsidR="004A55DD" w:rsidRDefault="00FC3E01">
      <w:pPr>
        <w:pStyle w:val="30"/>
        <w:rPr>
          <w:lang w:eastAsia="zh-CN"/>
        </w:rPr>
      </w:pPr>
      <w:bookmarkStart w:id="11" w:name="专家识别特征建立cox-hp模型"/>
      <w:r>
        <w:rPr>
          <w:lang w:eastAsia="zh-CN"/>
        </w:rPr>
        <w:t xml:space="preserve">3.1 </w:t>
      </w:r>
      <w:r>
        <w:rPr>
          <w:lang w:eastAsia="zh-CN"/>
        </w:rPr>
        <w:t>专家识别特征建立</w:t>
      </w:r>
      <w:r>
        <w:rPr>
          <w:lang w:eastAsia="zh-CN"/>
        </w:rPr>
        <w:t>Cox HP</w:t>
      </w:r>
      <w:r>
        <w:rPr>
          <w:lang w:eastAsia="zh-CN"/>
        </w:rPr>
        <w:t>模型</w:t>
      </w:r>
      <w:bookmarkEnd w:id="11"/>
    </w:p>
    <w:p w:rsidR="004A55DD" w:rsidRDefault="00FC3E01">
      <w:pPr>
        <w:pStyle w:val="FirstParagraph"/>
        <w:ind w:firstLine="480"/>
      </w:pPr>
      <w:proofErr w:type="spellStart"/>
      <w:r>
        <w:t>比例风险模型（</w:t>
      </w:r>
      <w:r>
        <w:t>Proportional</w:t>
      </w:r>
      <w:proofErr w:type="spellEnd"/>
      <w:r>
        <w:t xml:space="preserve"> hazards models, PH models</w:t>
      </w:r>
      <w:r>
        <w:t>）是统计学中生存模型的一类。通过分析在事件发生前经过的时间与和该时间量可能相关联的一个或多个协变量的关系，</w:t>
      </w:r>
      <w:proofErr w:type="gramStart"/>
      <w:r>
        <w:t>生存分析建立起</w:t>
      </w:r>
      <w:r>
        <w:t>“</w:t>
      </w:r>
      <w:proofErr w:type="spellStart"/>
      <w:proofErr w:type="gramEnd"/>
      <w:r>
        <w:t>时间</w:t>
      </w:r>
      <w:r>
        <w:t>-</w:t>
      </w:r>
      <w:r>
        <w:t>事件</w:t>
      </w:r>
      <w:r>
        <w:t>”</w:t>
      </w:r>
      <w:r>
        <w:t>模型</w:t>
      </w:r>
      <w:proofErr w:type="spellEnd"/>
      <w:r>
        <w:t>。</w:t>
      </w:r>
      <w:r>
        <w:rPr>
          <w:lang w:eastAsia="zh-CN"/>
        </w:rPr>
        <w:t>在</w:t>
      </w:r>
      <w:r>
        <w:rPr>
          <w:lang w:eastAsia="zh-CN"/>
        </w:rPr>
        <w:t>PH</w:t>
      </w:r>
      <w:r>
        <w:rPr>
          <w:lang w:eastAsia="zh-CN"/>
        </w:rPr>
        <w:t>模型中，协变量中单位增加的效应与相应的危险率是乘积关系。例如，服用药物可能会使一个人发生中风的危险率降低一半。</w:t>
      </w:r>
      <w:r>
        <w:rPr>
          <w:lang w:eastAsia="zh-CN"/>
        </w:rPr>
        <w:t xml:space="preserve"> </w:t>
      </w:r>
      <w:r>
        <w:t>（</w:t>
      </w:r>
      <w:r>
        <w:t xml:space="preserve"> Bres</w:t>
      </w:r>
      <w:r>
        <w:t xml:space="preserve">low, N. E. (1975). “Analysis of Survival Data under the Proportional Hazards Model”. International Statistical Review / Revue Internationale de Statistique. 43 (1): 45–57. doi:10.2307/1402659. JSTOR 1402659. </w:t>
      </w:r>
      <w:r>
        <w:t>）</w:t>
      </w:r>
    </w:p>
    <w:p w:rsidR="004A55DD" w:rsidRDefault="00FC3E01">
      <w:pPr>
        <w:pStyle w:val="a0"/>
        <w:ind w:firstLine="480"/>
        <w:rPr>
          <w:lang w:eastAsia="zh-CN"/>
        </w:rPr>
      </w:pPr>
      <w:r>
        <w:t>比例风险模型（</w:t>
      </w:r>
      <w:r>
        <w:t>Proportional hazards models, PH models</w:t>
      </w:r>
      <w:r>
        <w:t>）</w:t>
      </w:r>
      <w:r>
        <w:t>是统计学中生存模型的一类。通过分析在事件发生前经过的时间与和该时间量可能相关联的一个或多个协变量的关系，</w:t>
      </w:r>
      <w:proofErr w:type="gramStart"/>
      <w:r>
        <w:t>生存分析建立起</w:t>
      </w:r>
      <w:r>
        <w:t>“</w:t>
      </w:r>
      <w:proofErr w:type="spellStart"/>
      <w:proofErr w:type="gramEnd"/>
      <w:r>
        <w:t>时间</w:t>
      </w:r>
      <w:r>
        <w:t>-</w:t>
      </w:r>
      <w:r>
        <w:t>事件</w:t>
      </w:r>
      <w:r>
        <w:t>”</w:t>
      </w:r>
      <w:r>
        <w:t>模型</w:t>
      </w:r>
      <w:proofErr w:type="spellEnd"/>
      <w:r>
        <w:t>。</w:t>
      </w:r>
      <w:r>
        <w:rPr>
          <w:lang w:eastAsia="zh-CN"/>
        </w:rPr>
        <w:t>在</w:t>
      </w:r>
      <w:r>
        <w:rPr>
          <w:lang w:eastAsia="zh-CN"/>
        </w:rPr>
        <w:t>PH</w:t>
      </w:r>
      <w:r>
        <w:rPr>
          <w:lang w:eastAsia="zh-CN"/>
        </w:rPr>
        <w:t>模型中，协变量中单位增加的效应与相应的危险率是乘积关系。例如，服用药物可能会使一个人发生中风的危险率降低一半。</w:t>
      </w:r>
    </w:p>
    <w:p w:rsidR="004A55DD" w:rsidRDefault="00FC3E01">
      <w:pPr>
        <w:pStyle w:val="a0"/>
        <w:ind w:firstLine="480"/>
      </w:pPr>
      <w:proofErr w:type="spellStart"/>
      <w:r>
        <w:lastRenderedPageBreak/>
        <w:t>Cox</w:t>
      </w:r>
      <w:r>
        <w:t>比例风险模型（</w:t>
      </w:r>
      <w:r>
        <w:t>Cox</w:t>
      </w:r>
      <w:proofErr w:type="spellEnd"/>
      <w:r>
        <w:t xml:space="preserve"> Proportional hazards model, Cox PH model</w:t>
      </w:r>
      <w:r>
        <w:t>）是</w:t>
      </w:r>
      <w:r>
        <w:t>PH</w:t>
      </w:r>
      <w:r>
        <w:t>模型中的一种。</w:t>
      </w:r>
    </w:p>
    <w:p w:rsidR="004A55DD" w:rsidRDefault="00FC3E01">
      <w:pPr>
        <w:pStyle w:val="a0"/>
        <w:ind w:firstLine="480"/>
      </w:pPr>
      <m:oMathPara>
        <m:oMathParaPr>
          <m:jc m:val="center"/>
        </m:oMathParaPr>
        <m:oMath>
          <m:r>
            <w:rPr>
              <w:rFonts w:ascii="Cambria Math" w:hAnsi="Cambria Math"/>
            </w:rPr>
            <m:t>h</m:t>
          </m:r>
          <m:r>
            <w:rPr>
              <w:rFonts w:ascii="Cambria Math" w:hAnsi="Cambria Math"/>
            </w:rPr>
            <m:t>(</m:t>
          </m:r>
          <m:r>
            <w:rPr>
              <w:rFonts w:ascii="Cambria Math" w:hAnsi="Cambria Math"/>
            </w:rPr>
            <m:t>t</m:t>
          </m:r>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r>
            <w:rPr>
              <w:rFonts w:ascii="Cambria Math" w:hAnsi="Cambria Math"/>
            </w:rPr>
            <m:t>t</m:t>
          </m:r>
          <m:r>
            <w:rPr>
              <w:rFonts w:ascii="Cambria Math" w:hAnsi="Cambria Math"/>
            </w:rPr>
            <m:t>)</m:t>
          </m:r>
          <m:r>
            <m:rPr>
              <m:sty m:val="p"/>
            </m:rPr>
            <w:rPr>
              <w:rFonts w:ascii="Cambria Math" w:hAnsi="Cambria Math"/>
            </w:rPr>
            <m:t>exp</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i</m:t>
                      </m:r>
                    </m:sub>
                  </m:sSub>
                </m:e>
              </m:bar>
              <m:r>
                <w:rPr>
                  <w:rFonts w:ascii="Cambria Math" w:hAnsi="Cambria Math"/>
                </w:rPr>
                <m:t>)</m:t>
              </m:r>
            </m:e>
          </m:d>
        </m:oMath>
      </m:oMathPara>
    </w:p>
    <w:p w:rsidR="004A55DD" w:rsidRDefault="00FC3E01">
      <w:pPr>
        <w:pStyle w:val="FirstParagraph"/>
        <w:ind w:firstLine="480"/>
        <w:rPr>
          <w:lang w:eastAsia="zh-CN"/>
        </w:rPr>
      </w:pPr>
      <w:r>
        <w:rPr>
          <w:lang w:eastAsia="zh-CN"/>
        </w:rPr>
        <w:t>其常被医学统计用于研究患者存活时间和一个或多个预测变量之间的关联。它和</w:t>
      </w:r>
      <w:r>
        <w:rPr>
          <w:lang w:eastAsia="zh-CN"/>
        </w:rPr>
        <w:t>Kaplan-Meier</w:t>
      </w:r>
      <w:r>
        <w:rPr>
          <w:lang w:eastAsia="zh-CN"/>
        </w:rPr>
        <w:t>曲线、</w:t>
      </w:r>
      <w:proofErr w:type="spellStart"/>
      <w:r>
        <w:rPr>
          <w:lang w:eastAsia="zh-CN"/>
        </w:rPr>
        <w:t>logrank</w:t>
      </w:r>
      <w:proofErr w:type="spellEnd"/>
      <w:r>
        <w:rPr>
          <w:lang w:eastAsia="zh-CN"/>
        </w:rPr>
        <w:t>测试不同</w:t>
      </w:r>
      <w:r>
        <w:rPr>
          <w:lang w:eastAsia="zh-CN"/>
        </w:rPr>
        <w:t>——Kaplan-Meier</w:t>
      </w:r>
      <w:r>
        <w:rPr>
          <w:lang w:eastAsia="zh-CN"/>
        </w:rPr>
        <w:t>曲线和</w:t>
      </w:r>
      <w:proofErr w:type="spellStart"/>
      <w:r>
        <w:rPr>
          <w:lang w:eastAsia="zh-CN"/>
        </w:rPr>
        <w:t>logrank</w:t>
      </w:r>
      <w:proofErr w:type="spellEnd"/>
      <w:r>
        <w:rPr>
          <w:lang w:eastAsia="zh-CN"/>
        </w:rPr>
        <w:t>测试是单变量分析，它们会忽略其他因素的影响，只能探究一个因素与生存时间的关联；同时它们需要的变量类型是分类类型，如疗法</w:t>
      </w:r>
      <w:r>
        <w:rPr>
          <w:lang w:eastAsia="zh-CN"/>
        </w:rPr>
        <w:t>A</w:t>
      </w:r>
      <w:r>
        <w:rPr>
          <w:lang w:eastAsia="zh-CN"/>
        </w:rPr>
        <w:t>、疗法</w:t>
      </w:r>
      <w:r>
        <w:rPr>
          <w:lang w:eastAsia="zh-CN"/>
        </w:rPr>
        <w:t>B</w:t>
      </w:r>
      <w:r>
        <w:rPr>
          <w:lang w:eastAsia="zh-CN"/>
        </w:rPr>
        <w:t>或男性、女性，而不适用于定量类型的变量。</w:t>
      </w:r>
      <w:r>
        <w:rPr>
          <w:lang w:eastAsia="zh-CN"/>
        </w:rPr>
        <w:t>Cox</w:t>
      </w:r>
      <w:r>
        <w:rPr>
          <w:lang w:eastAsia="zh-CN"/>
        </w:rPr>
        <w:t>比例风险回归分析则不同，它能同时评估多个风险因素对生存时间的影响。并且，除了分析分类类型变量外，它也能分析定量类型变量。</w:t>
      </w:r>
    </w:p>
    <w:p w:rsidR="004A55DD" w:rsidRDefault="00FC3E01">
      <w:pPr>
        <w:pStyle w:val="a0"/>
        <w:ind w:firstLine="480"/>
      </w:pPr>
      <w:r>
        <w:t>本文应用基于</w:t>
      </w:r>
      <w:r>
        <w:t>Python</w:t>
      </w:r>
      <w:r>
        <w:t>的生存分析应用</w:t>
      </w:r>
      <w:r>
        <w:t>life</w:t>
      </w:r>
      <w:r>
        <w:t>lines,</w:t>
      </w:r>
      <w:hyperlink r:id="rId9">
        <w:r>
          <w:rPr>
            <w:rStyle w:val="ae"/>
          </w:rPr>
          <w:t>https://lifelines.readthedocs.io/en/latest/index.html</w:t>
        </w:r>
      </w:hyperlink>
      <w:r>
        <w:t>,</w:t>
      </w:r>
      <w:r>
        <w:t>进行</w:t>
      </w:r>
      <w:r>
        <w:t xml:space="preserve">Cox </w:t>
      </w:r>
      <w:proofErr w:type="spellStart"/>
      <w:r>
        <w:t>PH</w:t>
      </w:r>
      <w:r>
        <w:t>模型的建立</w:t>
      </w:r>
      <w:proofErr w:type="spellEnd"/>
      <w:r>
        <w:t>。</w:t>
      </w:r>
    </w:p>
    <w:p w:rsidR="004A55DD" w:rsidRDefault="00FC3E01">
      <w:pPr>
        <w:pStyle w:val="30"/>
        <w:rPr>
          <w:lang w:eastAsia="zh-CN"/>
        </w:rPr>
      </w:pPr>
      <w:bookmarkStart w:id="12" w:name="区域分割及预筛选"/>
      <w:r>
        <w:rPr>
          <w:lang w:eastAsia="zh-CN"/>
        </w:rPr>
        <w:t xml:space="preserve">3.2 </w:t>
      </w:r>
      <w:r>
        <w:rPr>
          <w:lang w:eastAsia="zh-CN"/>
        </w:rPr>
        <w:t>区域分割及预筛选</w:t>
      </w:r>
      <w:bookmarkEnd w:id="12"/>
    </w:p>
    <w:p w:rsidR="004A55DD" w:rsidRDefault="00FC3E01">
      <w:pPr>
        <w:pStyle w:val="FirstParagraph"/>
        <w:ind w:firstLine="480"/>
        <w:rPr>
          <w:lang w:eastAsia="zh-CN"/>
        </w:rPr>
      </w:pPr>
      <w:r>
        <w:rPr>
          <w:lang w:eastAsia="zh-CN"/>
        </w:rPr>
        <w:t>影像数据分析的一大挑战是样本的图像非常大。因此，其难以全部直接读取至随机读取内存（</w:t>
      </w:r>
      <w:r>
        <w:rPr>
          <w:lang w:eastAsia="zh-CN"/>
        </w:rPr>
        <w:t>random access memory, RAM</w:t>
      </w:r>
      <w:r>
        <w:rPr>
          <w:lang w:eastAsia="zh-CN"/>
        </w:rPr>
        <w:t>），或者应用一般的流水线（</w:t>
      </w:r>
      <w:r>
        <w:rPr>
          <w:lang w:eastAsia="zh-CN"/>
        </w:rPr>
        <w:t>pipeline</w:t>
      </w:r>
      <w:r>
        <w:rPr>
          <w:lang w:eastAsia="zh-CN"/>
        </w:rPr>
        <w:t>）进行分析。以本</w:t>
      </w:r>
      <w:r>
        <w:rPr>
          <w:lang w:eastAsia="zh-CN"/>
        </w:rPr>
        <w:t>研究所使用的</w:t>
      </w:r>
      <w:r>
        <w:rPr>
          <w:lang w:eastAsia="zh-CN"/>
        </w:rPr>
        <w:t>TACG-BRCA</w:t>
      </w:r>
      <w:r>
        <w:rPr>
          <w:lang w:eastAsia="zh-CN"/>
        </w:rPr>
        <w:t>数据为例。其以</w:t>
      </w:r>
      <w:proofErr w:type="spellStart"/>
      <w:r>
        <w:rPr>
          <w:lang w:eastAsia="zh-CN"/>
        </w:rPr>
        <w:t>Aperio</w:t>
      </w:r>
      <w:proofErr w:type="spellEnd"/>
      <w:r>
        <w:rPr>
          <w:lang w:eastAsia="zh-CN"/>
        </w:rPr>
        <w:t>公司</w:t>
      </w:r>
      <w:r>
        <w:rPr>
          <w:lang w:eastAsia="zh-CN"/>
        </w:rPr>
        <w:t>SVS</w:t>
      </w:r>
      <w:r>
        <w:rPr>
          <w:lang w:eastAsia="zh-CN"/>
        </w:rPr>
        <w:t>文件为格式，</w:t>
      </w:r>
      <w:r>
        <w:rPr>
          <w:lang w:eastAsia="zh-CN"/>
        </w:rPr>
        <w:t>759</w:t>
      </w:r>
      <w:r>
        <w:rPr>
          <w:lang w:eastAsia="zh-CN"/>
        </w:rPr>
        <w:t>个样本的</w:t>
      </w:r>
      <w:r>
        <w:rPr>
          <w:lang w:eastAsia="zh-CN"/>
        </w:rPr>
        <w:t>10</w:t>
      </w:r>
      <w:r>
        <w:rPr>
          <w:lang w:eastAsia="zh-CN"/>
        </w:rPr>
        <w:t>倍镜成像平均包含</w:t>
      </w:r>
      <w:r>
        <w:rPr>
          <w:lang w:eastAsia="zh-CN"/>
        </w:rPr>
        <w:t>5.38e+08</w:t>
      </w:r>
      <w:r>
        <w:rPr>
          <w:lang w:eastAsia="zh-CN"/>
        </w:rPr>
        <w:t>个像素点，</w:t>
      </w:r>
      <w:r>
        <w:rPr>
          <w:lang w:eastAsia="zh-CN"/>
        </w:rPr>
        <w:t>40</w:t>
      </w:r>
      <w:r>
        <w:rPr>
          <w:lang w:eastAsia="zh-CN"/>
        </w:rPr>
        <w:t>倍成像</w:t>
      </w:r>
      <w:proofErr w:type="gramStart"/>
      <w:r>
        <w:rPr>
          <w:lang w:eastAsia="zh-CN"/>
        </w:rPr>
        <w:t>图平均</w:t>
      </w:r>
      <w:proofErr w:type="gramEnd"/>
      <w:r>
        <w:rPr>
          <w:lang w:eastAsia="zh-CN"/>
        </w:rPr>
        <w:t>包含</w:t>
      </w:r>
      <w:r>
        <w:rPr>
          <w:lang w:eastAsia="zh-CN"/>
        </w:rPr>
        <w:t>8.61e+09</w:t>
      </w:r>
      <w:r>
        <w:rPr>
          <w:lang w:eastAsia="zh-CN"/>
        </w:rPr>
        <w:t>个像素点。如果在</w:t>
      </w:r>
      <w:r>
        <w:rPr>
          <w:lang w:eastAsia="zh-CN"/>
        </w:rPr>
        <w:t>RGB</w:t>
      </w:r>
      <w:r>
        <w:rPr>
          <w:lang w:eastAsia="zh-CN"/>
        </w:rPr>
        <w:t>模式，</w:t>
      </w:r>
      <w:r>
        <w:rPr>
          <w:lang w:eastAsia="zh-CN"/>
        </w:rPr>
        <w:t>uint8</w:t>
      </w:r>
      <w:r>
        <w:rPr>
          <w:lang w:eastAsia="zh-CN"/>
        </w:rPr>
        <w:t>数据格式下读取，</w:t>
      </w:r>
      <w:r>
        <w:rPr>
          <w:lang w:eastAsia="zh-CN"/>
        </w:rPr>
        <w:t>40</w:t>
      </w:r>
      <w:r>
        <w:rPr>
          <w:lang w:eastAsia="zh-CN"/>
        </w:rPr>
        <w:t>倍成像的图像将占用近</w:t>
      </w:r>
      <w:r>
        <w:rPr>
          <w:lang w:eastAsia="zh-CN"/>
        </w:rPr>
        <w:t>26GB</w:t>
      </w:r>
      <w:r>
        <w:rPr>
          <w:lang w:eastAsia="zh-CN"/>
        </w:rPr>
        <w:t>的</w:t>
      </w:r>
      <w:r>
        <w:rPr>
          <w:lang w:eastAsia="zh-CN"/>
        </w:rPr>
        <w:t>RAM</w:t>
      </w:r>
      <w:r>
        <w:rPr>
          <w:lang w:eastAsia="zh-CN"/>
        </w:rPr>
        <w:t>空间，此外，之后的运算还需要空间存储中间结果。而当前常规的计算机一般配备</w:t>
      </w:r>
      <w:r>
        <w:rPr>
          <w:lang w:eastAsia="zh-CN"/>
        </w:rPr>
        <w:t>8</w:t>
      </w:r>
      <w:r>
        <w:rPr>
          <w:lang w:eastAsia="zh-CN"/>
        </w:rPr>
        <w:t>至</w:t>
      </w:r>
      <w:r>
        <w:rPr>
          <w:lang w:eastAsia="zh-CN"/>
        </w:rPr>
        <w:t>16GB</w:t>
      </w:r>
      <w:r>
        <w:rPr>
          <w:lang w:eastAsia="zh-CN"/>
        </w:rPr>
        <w:t>的</w:t>
      </w:r>
      <w:r>
        <w:rPr>
          <w:lang w:eastAsia="zh-CN"/>
        </w:rPr>
        <w:t>RAM</w:t>
      </w:r>
      <w:r>
        <w:rPr>
          <w:lang w:eastAsia="zh-CN"/>
        </w:rPr>
        <w:t>。因此，直接读取文件进行分析是不可取的。同时，我们观察到</w:t>
      </w:r>
      <w:r>
        <w:rPr>
          <w:lang w:eastAsia="zh-CN"/>
        </w:rPr>
        <w:t>10</w:t>
      </w:r>
      <w:r>
        <w:rPr>
          <w:lang w:eastAsia="zh-CN"/>
        </w:rPr>
        <w:t>倍镜成像下，肿瘤细胞聚集分布在图中的某些区域，一个细胞仅占</w:t>
      </w:r>
      <w:r>
        <w:rPr>
          <w:lang w:eastAsia="zh-CN"/>
        </w:rPr>
        <w:t>8*8</w:t>
      </w:r>
      <w:r>
        <w:rPr>
          <w:lang w:eastAsia="zh-CN"/>
        </w:rPr>
        <w:t>的区域。此外，图中有大量的空</w:t>
      </w:r>
      <w:r>
        <w:rPr>
          <w:lang w:eastAsia="zh-CN"/>
        </w:rPr>
        <w:t>白区域或重复的大块区域，直接使用全图是不明智的。从经验上讲，对空白区域可用简单的算法进行预筛选。</w:t>
      </w:r>
    </w:p>
    <w:p w:rsidR="004A55DD" w:rsidRDefault="00FC3E01">
      <w:pPr>
        <w:pStyle w:val="40"/>
        <w:rPr>
          <w:lang w:eastAsia="zh-CN"/>
        </w:rPr>
      </w:pPr>
      <w:bookmarkStart w:id="13" w:name="显微放大倍数选择"/>
      <w:r>
        <w:rPr>
          <w:lang w:eastAsia="zh-CN"/>
        </w:rPr>
        <w:t xml:space="preserve">3.2.1 </w:t>
      </w:r>
      <w:r>
        <w:rPr>
          <w:lang w:eastAsia="zh-CN"/>
        </w:rPr>
        <w:t>显微放大倍数选择</w:t>
      </w:r>
      <w:bookmarkEnd w:id="13"/>
    </w:p>
    <w:p w:rsidR="004A55DD" w:rsidRDefault="00FC3E01">
      <w:pPr>
        <w:pStyle w:val="FirstParagraph"/>
        <w:ind w:firstLine="480"/>
        <w:rPr>
          <w:lang w:eastAsia="zh-CN"/>
        </w:rPr>
      </w:pPr>
      <w:r>
        <w:rPr>
          <w:lang w:eastAsia="zh-CN"/>
        </w:rPr>
        <w:t>10</w:t>
      </w:r>
      <w:r>
        <w:rPr>
          <w:lang w:eastAsia="zh-CN"/>
        </w:rPr>
        <w:t>倍镜成像虽相较于</w:t>
      </w:r>
      <w:r>
        <w:rPr>
          <w:lang w:eastAsia="zh-CN"/>
        </w:rPr>
        <w:t>40</w:t>
      </w:r>
      <w:r>
        <w:rPr>
          <w:lang w:eastAsia="zh-CN"/>
        </w:rPr>
        <w:t>倍成像镜有一定的损失，但</w:t>
      </w:r>
      <w:r>
        <w:rPr>
          <w:lang w:eastAsia="zh-CN"/>
        </w:rPr>
        <w:t>10</w:t>
      </w:r>
      <w:r>
        <w:rPr>
          <w:lang w:eastAsia="zh-CN"/>
        </w:rPr>
        <w:t>倍镜成像下细胞占</w:t>
      </w:r>
      <w:r>
        <w:rPr>
          <w:lang w:eastAsia="zh-CN"/>
        </w:rPr>
        <w:t>8*8</w:t>
      </w:r>
      <w:r>
        <w:rPr>
          <w:lang w:eastAsia="zh-CN"/>
        </w:rPr>
        <w:t>像素，观察尚包含一定的信息。</w:t>
      </w:r>
    </w:p>
    <w:p w:rsidR="004A55DD" w:rsidRDefault="00FC3E01">
      <w:pPr>
        <w:pStyle w:val="a0"/>
        <w:ind w:firstLine="480"/>
        <w:rPr>
          <w:lang w:eastAsia="zh-CN"/>
        </w:rPr>
      </w:pPr>
      <w:r>
        <w:rPr>
          <w:lang w:eastAsia="zh-CN"/>
        </w:rPr>
        <w:t>此外，后续我们</w:t>
      </w:r>
      <w:proofErr w:type="spellStart"/>
      <w:r>
        <w:rPr>
          <w:lang w:eastAsia="zh-CN"/>
        </w:rPr>
        <w:t>NASNet</w:t>
      </w:r>
      <w:proofErr w:type="spellEnd"/>
      <w:r>
        <w:rPr>
          <w:lang w:eastAsia="zh-CN"/>
        </w:rPr>
        <w:t>分类器及迁移学习使用的</w:t>
      </w:r>
      <w:r>
        <w:rPr>
          <w:lang w:eastAsia="zh-CN"/>
        </w:rPr>
        <w:t>Kaggle</w:t>
      </w:r>
      <w:r>
        <w:rPr>
          <w:lang w:eastAsia="zh-CN"/>
        </w:rPr>
        <w:t>数据库（见方法）数据为</w:t>
      </w:r>
      <w:r>
        <w:rPr>
          <w:lang w:eastAsia="zh-CN"/>
        </w:rPr>
        <w:t>10</w:t>
      </w:r>
      <w:r>
        <w:rPr>
          <w:lang w:eastAsia="zh-CN"/>
        </w:rPr>
        <w:t>倍镜下成像。于是，我们在研究中也选用了</w:t>
      </w:r>
      <w:r>
        <w:rPr>
          <w:lang w:eastAsia="zh-CN"/>
        </w:rPr>
        <w:t>10</w:t>
      </w:r>
      <w:r>
        <w:rPr>
          <w:lang w:eastAsia="zh-CN"/>
        </w:rPr>
        <w:t>倍镜下的成像，以在计算机资源使用和有效信息保留上取得良好的平衡。</w:t>
      </w:r>
    </w:p>
    <w:p w:rsidR="004A55DD" w:rsidRDefault="00FC3E01">
      <w:pPr>
        <w:pStyle w:val="40"/>
        <w:rPr>
          <w:lang w:eastAsia="zh-CN"/>
        </w:rPr>
      </w:pPr>
      <w:bookmarkStart w:id="14" w:name="openslide进行9696区域切割"/>
      <w:r>
        <w:rPr>
          <w:lang w:eastAsia="zh-CN"/>
        </w:rPr>
        <w:t xml:space="preserve">3.2.2 </w:t>
      </w:r>
      <w:proofErr w:type="spellStart"/>
      <w:r>
        <w:rPr>
          <w:lang w:eastAsia="zh-CN"/>
        </w:rPr>
        <w:t>openslide</w:t>
      </w:r>
      <w:proofErr w:type="spellEnd"/>
      <w:r>
        <w:rPr>
          <w:lang w:eastAsia="zh-CN"/>
        </w:rPr>
        <w:t>进行</w:t>
      </w:r>
      <w:r>
        <w:rPr>
          <w:lang w:eastAsia="zh-CN"/>
        </w:rPr>
        <w:t>96*96</w:t>
      </w:r>
      <w:r>
        <w:rPr>
          <w:lang w:eastAsia="zh-CN"/>
        </w:rPr>
        <w:t>区域切割</w:t>
      </w:r>
      <w:bookmarkEnd w:id="14"/>
    </w:p>
    <w:p w:rsidR="004A55DD" w:rsidRDefault="00FC3E01">
      <w:pPr>
        <w:pStyle w:val="FirstParagraph"/>
        <w:ind w:firstLine="480"/>
        <w:rPr>
          <w:lang w:eastAsia="zh-CN"/>
        </w:rPr>
      </w:pPr>
      <w:proofErr w:type="spellStart"/>
      <w:r>
        <w:rPr>
          <w:lang w:eastAsia="zh-CN"/>
        </w:rPr>
        <w:t>openslide</w:t>
      </w:r>
      <w:proofErr w:type="spellEnd"/>
      <w:r>
        <w:rPr>
          <w:lang w:eastAsia="zh-CN"/>
        </w:rPr>
        <w:t>是基于</w:t>
      </w:r>
      <w:r>
        <w:rPr>
          <w:lang w:eastAsia="zh-CN"/>
        </w:rPr>
        <w:t>C</w:t>
      </w:r>
      <w:r>
        <w:rPr>
          <w:lang w:eastAsia="zh-CN"/>
        </w:rPr>
        <w:t>语言的</w:t>
      </w:r>
      <w:r>
        <w:rPr>
          <w:lang w:eastAsia="zh-CN"/>
        </w:rPr>
        <w:t>读取此类大型图像的开源工具。本文使用最新的</w:t>
      </w:r>
      <w:r>
        <w:rPr>
          <w:lang w:eastAsia="zh-CN"/>
        </w:rPr>
        <w:t>3.4.1</w:t>
      </w:r>
      <w:r>
        <w:rPr>
          <w:lang w:eastAsia="zh-CN"/>
        </w:rPr>
        <w:t>版。</w:t>
      </w:r>
    </w:p>
    <w:p w:rsidR="004A55DD" w:rsidRDefault="00FC3E01">
      <w:pPr>
        <w:pStyle w:val="a0"/>
        <w:ind w:firstLine="480"/>
        <w:rPr>
          <w:lang w:eastAsia="zh-CN"/>
        </w:rPr>
      </w:pPr>
      <w:r>
        <w:rPr>
          <w:lang w:eastAsia="zh-CN"/>
        </w:rPr>
        <w:lastRenderedPageBreak/>
        <w:t>显而易见地，我们需要将整个图像分割为多个小的区域。在对每个区域进行分析之后，再将分析结果进行整合。当前图像深度学习使用的图片一般会缩小为</w:t>
      </w:r>
      <w:r>
        <w:rPr>
          <w:lang w:eastAsia="zh-CN"/>
        </w:rPr>
        <w:t>96*96</w:t>
      </w:r>
      <w:r>
        <w:rPr>
          <w:lang w:eastAsia="zh-CN"/>
        </w:rPr>
        <w:t>的小图，以便于分析。因此，我们使用</w:t>
      </w:r>
      <w:proofErr w:type="spellStart"/>
      <w:r>
        <w:rPr>
          <w:lang w:eastAsia="zh-CN"/>
        </w:rPr>
        <w:t>openslide</w:t>
      </w:r>
      <w:proofErr w:type="spellEnd"/>
      <w:r>
        <w:rPr>
          <w:lang w:eastAsia="zh-CN"/>
        </w:rPr>
        <w:t>将原始的大图在调节至</w:t>
      </w:r>
      <w:r>
        <w:rPr>
          <w:lang w:eastAsia="zh-CN"/>
        </w:rPr>
        <w:t>10</w:t>
      </w:r>
      <w:r>
        <w:rPr>
          <w:lang w:eastAsia="zh-CN"/>
        </w:rPr>
        <w:t>倍成像。然后，</w:t>
      </w:r>
      <w:proofErr w:type="spellStart"/>
      <w:r>
        <w:rPr>
          <w:lang w:eastAsia="zh-CN"/>
        </w:rPr>
        <w:t>openslide</w:t>
      </w:r>
      <w:proofErr w:type="spellEnd"/>
      <w:r>
        <w:rPr>
          <w:lang w:eastAsia="zh-CN"/>
        </w:rPr>
        <w:t>将</w:t>
      </w:r>
      <w:r>
        <w:rPr>
          <w:lang w:eastAsia="zh-CN"/>
        </w:rPr>
        <w:t>10</w:t>
      </w:r>
      <w:r>
        <w:rPr>
          <w:lang w:eastAsia="zh-CN"/>
        </w:rPr>
        <w:t>倍镜成像图分割为</w:t>
      </w:r>
      <w:r>
        <w:rPr>
          <w:lang w:eastAsia="zh-CN"/>
        </w:rPr>
        <w:t>96*96</w:t>
      </w:r>
      <w:r>
        <w:rPr>
          <w:lang w:eastAsia="zh-CN"/>
        </w:rPr>
        <w:t>的小图。</w:t>
      </w:r>
    </w:p>
    <w:p w:rsidR="004A55DD" w:rsidRDefault="00FC3E01">
      <w:pPr>
        <w:pStyle w:val="40"/>
        <w:rPr>
          <w:lang w:eastAsia="zh-CN"/>
        </w:rPr>
      </w:pPr>
      <w:bookmarkStart w:id="15" w:name="opencv预选"/>
      <w:r>
        <w:rPr>
          <w:lang w:eastAsia="zh-CN"/>
        </w:rPr>
        <w:t>3.2.3 OpenCV</w:t>
      </w:r>
      <w:r>
        <w:rPr>
          <w:lang w:eastAsia="zh-CN"/>
        </w:rPr>
        <w:t>预选</w:t>
      </w:r>
      <w:bookmarkEnd w:id="15"/>
    </w:p>
    <w:p w:rsidR="004A55DD" w:rsidRDefault="00FC3E01">
      <w:pPr>
        <w:pStyle w:val="FirstParagraph"/>
        <w:ind w:firstLine="480"/>
        <w:rPr>
          <w:lang w:eastAsia="zh-CN"/>
        </w:rPr>
      </w:pPr>
      <w:r>
        <w:rPr>
          <w:lang w:eastAsia="zh-CN"/>
        </w:rPr>
        <w:t>OpenCV</w:t>
      </w:r>
      <w:r>
        <w:rPr>
          <w:lang w:eastAsia="zh-CN"/>
        </w:rPr>
        <w:t>，即开源计算机视觉库，是一个开源的应用于计算机视觉及机器学习的软件。</w:t>
      </w:r>
      <w:r>
        <w:rPr>
          <w:lang w:eastAsia="zh-CN"/>
        </w:rPr>
        <w:t>OpenCV</w:t>
      </w:r>
      <w:r>
        <w:rPr>
          <w:lang w:eastAsia="zh-CN"/>
        </w:rPr>
        <w:t>是计算机视觉应用常用的平台。</w:t>
      </w:r>
    </w:p>
    <w:p w:rsidR="004A55DD" w:rsidRDefault="00FC3E01">
      <w:pPr>
        <w:pStyle w:val="a0"/>
        <w:ind w:firstLine="480"/>
        <w:rPr>
          <w:lang w:eastAsia="zh-CN"/>
        </w:rPr>
      </w:pPr>
      <w:r>
        <w:rPr>
          <w:lang w:eastAsia="zh-CN"/>
        </w:rPr>
        <w:t>在分割</w:t>
      </w:r>
      <w:r>
        <w:rPr>
          <w:lang w:eastAsia="zh-CN"/>
        </w:rPr>
        <w:t>过程中，我们利用简单的灰度分析对区域进行预筛选。具体而言，我们将小图由</w:t>
      </w:r>
      <w:r>
        <w:rPr>
          <w:lang w:eastAsia="zh-CN"/>
        </w:rPr>
        <w:t>RGB</w:t>
      </w:r>
      <w:r>
        <w:rPr>
          <w:lang w:eastAsia="zh-CN"/>
        </w:rPr>
        <w:t>模式转化为灰度模式。通过计算，我们能得到全图的平均灰度值以代表整个小图。</w:t>
      </w:r>
      <w:proofErr w:type="gramStart"/>
      <w:r>
        <w:rPr>
          <w:lang w:eastAsia="zh-CN"/>
        </w:rPr>
        <w:t>该平均</w:t>
      </w:r>
      <w:proofErr w:type="gramEnd"/>
      <w:r>
        <w:rPr>
          <w:lang w:eastAsia="zh-CN"/>
        </w:rPr>
        <w:t>灰度值在</w:t>
      </w:r>
      <w:r>
        <w:rPr>
          <w:lang w:eastAsia="zh-CN"/>
        </w:rPr>
        <w:t>0~255</w:t>
      </w:r>
      <w:r>
        <w:rPr>
          <w:lang w:eastAsia="zh-CN"/>
        </w:rPr>
        <w:t>之间。一般地，包含大量空白的区域的平均灰度值会很低。于是，我们能通过观察设置一个阈值，低于该值的即为包含大量空白的区域。这样，我们使用</w:t>
      </w:r>
      <w:r>
        <w:rPr>
          <w:lang w:eastAsia="zh-CN"/>
        </w:rPr>
        <w:t>OpenCV</w:t>
      </w:r>
      <w:r>
        <w:rPr>
          <w:lang w:eastAsia="zh-CN"/>
        </w:rPr>
        <w:t>执行上述操作，以筛选除去了空白的区域。</w:t>
      </w:r>
    </w:p>
    <w:p w:rsidR="004A55DD" w:rsidRDefault="00FC3E01">
      <w:pPr>
        <w:pStyle w:val="30"/>
      </w:pPr>
      <w:bookmarkStart w:id="16" w:name="nasnet区域分类器"/>
      <w:r>
        <w:t xml:space="preserve">3.3 </w:t>
      </w:r>
      <w:proofErr w:type="spellStart"/>
      <w:r>
        <w:t>NASNet</w:t>
      </w:r>
      <w:r>
        <w:t>区域分类器</w:t>
      </w:r>
      <w:bookmarkEnd w:id="16"/>
      <w:proofErr w:type="spellEnd"/>
    </w:p>
    <w:p w:rsidR="004A55DD" w:rsidRDefault="00FC3E01">
      <w:pPr>
        <w:pStyle w:val="FirstParagraph"/>
        <w:ind w:firstLine="480"/>
        <w:rPr>
          <w:lang w:eastAsia="zh-CN"/>
        </w:rPr>
      </w:pPr>
      <w:r>
        <w:t>2017</w:t>
      </w:r>
      <w:r>
        <w:t>年</w:t>
      </w:r>
      <w:r>
        <w:t>5</w:t>
      </w:r>
      <w:r>
        <w:t>月，</w:t>
      </w:r>
      <w:r>
        <w:t>Google Brain</w:t>
      </w:r>
      <w:proofErr w:type="gramStart"/>
      <w:r>
        <w:t>设计了能产生人工智能</w:t>
      </w:r>
      <w:r>
        <w:t>(</w:t>
      </w:r>
      <w:proofErr w:type="gramEnd"/>
      <w:r>
        <w:t>artificial intelligence, AI)</w:t>
      </w:r>
      <w:r>
        <w:t>的人</w:t>
      </w:r>
      <w:r>
        <w:t>工智能，</w:t>
      </w:r>
      <w:r>
        <w:t>AutoML</w:t>
      </w:r>
      <w:r>
        <w:t>。</w:t>
      </w:r>
      <w:r>
        <w:t>NASNet</w:t>
      </w:r>
      <w:r>
        <w:t>是</w:t>
      </w:r>
      <w:r>
        <w:t>Google</w:t>
      </w:r>
      <w:proofErr w:type="spellStart"/>
      <w:r>
        <w:t>的研究人员使用强化学习，以</w:t>
      </w:r>
      <w:r>
        <w:t>AutoML</w:t>
      </w:r>
      <w:r>
        <w:t>作为控制神经网络自动训练出来的神经网络模型</w:t>
      </w:r>
      <w:proofErr w:type="spellEnd"/>
      <w:r>
        <w:t>。</w:t>
      </w:r>
      <w:r>
        <w:rPr>
          <w:lang w:eastAsia="zh-CN"/>
        </w:rPr>
        <w:t>在</w:t>
      </w:r>
      <w:r>
        <w:rPr>
          <w:lang w:eastAsia="zh-CN"/>
        </w:rPr>
        <w:t>2018</w:t>
      </w:r>
      <w:r>
        <w:rPr>
          <w:lang w:eastAsia="zh-CN"/>
        </w:rPr>
        <w:t>年，</w:t>
      </w:r>
      <w:proofErr w:type="spellStart"/>
      <w:r>
        <w:rPr>
          <w:lang w:eastAsia="zh-CN"/>
        </w:rPr>
        <w:t>NASNet</w:t>
      </w:r>
      <w:proofErr w:type="spellEnd"/>
      <w:r>
        <w:rPr>
          <w:lang w:eastAsia="zh-CN"/>
        </w:rPr>
        <w:t>已是图像识别领域的最佳模型。</w:t>
      </w:r>
    </w:p>
    <w:p w:rsidR="004A55DD" w:rsidRDefault="00FC3E01">
      <w:pPr>
        <w:pStyle w:val="40"/>
      </w:pPr>
      <w:bookmarkStart w:id="17" w:name="nasnet分类器架构"/>
      <w:r>
        <w:t xml:space="preserve">3.3.1 </w:t>
      </w:r>
      <w:proofErr w:type="spellStart"/>
      <w:r>
        <w:t>NASNet</w:t>
      </w:r>
      <w:r>
        <w:t>分类器架构</w:t>
      </w:r>
      <w:bookmarkEnd w:id="17"/>
      <w:proofErr w:type="spellEnd"/>
    </w:p>
    <w:p w:rsidR="004A55DD" w:rsidRDefault="00FC3E01">
      <w:pPr>
        <w:pStyle w:val="FirstParagraph"/>
        <w:ind w:firstLine="480"/>
      </w:pPr>
      <w:r>
        <w:t>NASNet</w:t>
      </w:r>
      <w:r>
        <w:t>模型分为</w:t>
      </w:r>
      <w:r>
        <w:t>NASNet large</w:t>
      </w:r>
      <w:r>
        <w:t>模型和</w:t>
      </w:r>
      <w:r>
        <w:t>NASNet mobile</w:t>
      </w:r>
      <w:r>
        <w:t>模型。</w:t>
      </w:r>
      <w:r>
        <w:t>NASNet mobile</w:t>
      </w:r>
      <w:r>
        <w:t>是其中较小的模型，其硬件需求更小，但仍能实现强大的图像识别功能。</w:t>
      </w:r>
    </w:p>
    <w:p w:rsidR="004A55DD" w:rsidRDefault="00FC3E01">
      <w:pPr>
        <w:pStyle w:val="a0"/>
        <w:ind w:firstLine="480"/>
      </w:pPr>
      <w:r>
        <w:t>NASNet</w:t>
      </w:r>
      <w:r>
        <w:t>分类器的第一层为</w:t>
      </w:r>
      <w:r>
        <w:t>96*96*3</w:t>
      </w:r>
      <w:r>
        <w:t>的数据输入层。之后，则是</w:t>
      </w:r>
      <w:r>
        <w:t>NASNet mobile</w:t>
      </w:r>
      <w:r>
        <w:t>（文中的</w:t>
      </w:r>
      <w:r>
        <w:t>NASNet</w:t>
      </w:r>
      <w:r>
        <w:t>均指</w:t>
      </w:r>
      <w:r>
        <w:t>NASNet mobile</w:t>
      </w:r>
      <w:r>
        <w:t>）层。</w:t>
      </w:r>
      <w:r>
        <w:t>NASNet</w:t>
      </w:r>
      <w:r>
        <w:t>层会产生</w:t>
      </w:r>
      <w:r>
        <w:t>3</w:t>
      </w:r>
      <w:r>
        <w:t>组数据，下一层的合并层（</w:t>
      </w:r>
      <w:r>
        <w:t>concatenate layer</w:t>
      </w:r>
      <w:r>
        <w:t>）将</w:t>
      </w:r>
      <w:r>
        <w:t>3</w:t>
      </w:r>
      <w:r>
        <w:t>组数据合并。接着，一个随机丢失层（</w:t>
      </w:r>
      <w:r>
        <w:t>dropout layer</w:t>
      </w:r>
      <w:r>
        <w:t>）用于防止过度拟合（</w:t>
      </w:r>
      <w:r>
        <w:t>overfitting</w:t>
      </w:r>
      <w:r>
        <w:t>）</w:t>
      </w:r>
      <w:r>
        <w:t>，增强模型鲁棒性（</w:t>
      </w:r>
      <w:r>
        <w:t>robustness</w:t>
      </w:r>
      <w:r>
        <w:t>）。最后是</w:t>
      </w:r>
      <w:r>
        <w:t>sigmoid</w:t>
      </w:r>
      <w:r>
        <w:t>函数激活的</w:t>
      </w:r>
      <w:r>
        <w:t>1</w:t>
      </w:r>
      <w:r>
        <w:t>维全连接层（</w:t>
      </w:r>
      <w:r>
        <w:t>dense layer</w:t>
      </w:r>
      <w:r>
        <w:t>）。</w:t>
      </w:r>
    </w:p>
    <w:p w:rsidR="004A55DD" w:rsidRDefault="00FC3E01">
      <w:pPr>
        <w:pStyle w:val="a0"/>
        <w:ind w:firstLine="480"/>
      </w:pPr>
      <w:r>
        <w:t>该分类器使用分类任务常用的二元交叉熵函数（</w:t>
      </w:r>
      <w:r>
        <w:t>binary cross entropy function</w:t>
      </w:r>
      <w:r>
        <w:t>）</w:t>
      </w:r>
    </w:p>
    <w:p w:rsidR="004A55DD" w:rsidRDefault="00FC3E01">
      <w:pPr>
        <w:pStyle w:val="a0"/>
        <w:ind w:firstLine="480"/>
      </w:pPr>
      <m:oMathPara>
        <m:oMathParaPr>
          <m:jc m:val="center"/>
        </m:oMathParaPr>
        <m:oMath>
          <m:r>
            <w:rPr>
              <w:rFonts w:ascii="Cambria Math" w:hAnsi="Cambria Math"/>
            </w:rPr>
            <m:t>C</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x</m:t>
              </m:r>
            </m:sub>
            <m:sup>
              <m:r>
                <w:rPr>
                  <w:rFonts w:ascii="Cambria Math" w:hAnsi="Cambria Math"/>
                </w:rPr>
                <m:t>​</m:t>
              </m:r>
            </m:sup>
            <m:e>
              <m:r>
                <w:rPr>
                  <w:rFonts w:ascii="Cambria Math" w:hAnsi="Cambria Math"/>
                </w:rPr>
                <m:t>[</m:t>
              </m:r>
            </m:e>
          </m:nary>
          <m:r>
            <w:rPr>
              <w:rFonts w:ascii="Cambria Math" w:hAnsi="Cambria Math"/>
            </w:rPr>
            <m:t>y</m:t>
          </m:r>
          <m:r>
            <m:rPr>
              <m:sty m:val="p"/>
            </m:rPr>
            <w:rPr>
              <w:rFonts w:ascii="Cambria Math" w:hAnsi="Cambria Math"/>
            </w:rPr>
            <m:t>ln</m:t>
          </m:r>
          <m:r>
            <w:rPr>
              <w:rFonts w:ascii="Cambria Math" w:hAnsi="Cambria Math"/>
            </w:rPr>
            <m:t>y</m:t>
          </m:r>
          <m:r>
            <w:rPr>
              <w:rFonts w:ascii="Cambria Math" w:hAnsi="Cambria Math"/>
            </w:rPr>
            <m:t>+(1-</m:t>
          </m:r>
          <m:r>
            <w:rPr>
              <w:rFonts w:ascii="Cambria Math" w:hAnsi="Cambria Math"/>
            </w:rPr>
            <m:t>y</m:t>
          </m:r>
          <m:r>
            <w:rPr>
              <w:rFonts w:ascii="Cambria Math" w:hAnsi="Cambria Math"/>
            </w:rPr>
            <m:t>)</m:t>
          </m:r>
          <m:r>
            <m:rPr>
              <m:sty m:val="p"/>
            </m:rPr>
            <w:rPr>
              <w:rFonts w:ascii="Cambria Math" w:hAnsi="Cambria Math"/>
            </w:rPr>
            <m:t>ln</m:t>
          </m:r>
          <m:r>
            <w:rPr>
              <w:rFonts w:ascii="Cambria Math" w:hAnsi="Cambria Math"/>
            </w:rPr>
            <m:t>(1-</m:t>
          </m:r>
          <m:r>
            <w:rPr>
              <w:rFonts w:ascii="Cambria Math" w:hAnsi="Cambria Math"/>
            </w:rPr>
            <m:t>y</m:t>
          </m:r>
          <m:r>
            <w:rPr>
              <w:rFonts w:ascii="Cambria Math" w:hAnsi="Cambria Math"/>
            </w:rPr>
            <m:t>)]</m:t>
          </m:r>
        </m:oMath>
      </m:oMathPara>
    </w:p>
    <w:p w:rsidR="004A55DD" w:rsidRDefault="00FC3E01">
      <w:pPr>
        <w:pStyle w:val="FirstParagraph"/>
        <w:ind w:firstLine="480"/>
      </w:pPr>
      <w:r>
        <w:t>作为损失函数（</w:t>
      </w:r>
      <w:r>
        <w:t>loss function</w:t>
      </w:r>
      <w:r>
        <w:t>）。</w:t>
      </w:r>
    </w:p>
    <w:p w:rsidR="004A55DD" w:rsidRDefault="00FC3E01">
      <w:pPr>
        <w:pStyle w:val="40"/>
      </w:pPr>
      <w:bookmarkStart w:id="18" w:name="kaggle数据库"/>
      <w:r>
        <w:t>3.3.2 Kaggle</w:t>
      </w:r>
      <w:r>
        <w:t>数据库</w:t>
      </w:r>
      <w:bookmarkEnd w:id="18"/>
    </w:p>
    <w:p w:rsidR="004A55DD" w:rsidRDefault="00FC3E01">
      <w:pPr>
        <w:pStyle w:val="FirstParagraph"/>
        <w:ind w:firstLine="480"/>
      </w:pPr>
      <w:r>
        <w:t>Kaggle</w:t>
      </w:r>
      <w:r>
        <w:t>是</w:t>
      </w:r>
      <w:r>
        <w:t>Google</w:t>
      </w:r>
      <w:r>
        <w:t>旗下的用于数据科学研究和机器学习的平台。</w:t>
      </w:r>
      <w:r>
        <w:t>Kaggle</w:t>
      </w:r>
      <w:r>
        <w:t>组织病理肿瘤识别（</w:t>
      </w:r>
      <w:r>
        <w:t>Histopathologic Cancer Det</w:t>
      </w:r>
      <w:r>
        <w:t>ection, HCD)</w:t>
      </w:r>
      <w:r>
        <w:t>数据库是其</w:t>
      </w:r>
      <w:r>
        <w:t>2018</w:t>
      </w:r>
      <w:r>
        <w:t>年开展组织病理肿瘤识别挑战时创建的数据库。</w:t>
      </w:r>
    </w:p>
    <w:p w:rsidR="004A55DD" w:rsidRDefault="00FC3E01">
      <w:pPr>
        <w:pStyle w:val="a0"/>
        <w:ind w:firstLine="480"/>
      </w:pPr>
      <w:r>
        <w:rPr>
          <w:lang w:eastAsia="zh-CN"/>
        </w:rPr>
        <w:lastRenderedPageBreak/>
        <w:t>Kaggle HCD</w:t>
      </w:r>
      <w:r>
        <w:rPr>
          <w:lang w:eastAsia="zh-CN"/>
        </w:rPr>
        <w:t>数据库的源头是</w:t>
      </w:r>
      <w:r>
        <w:rPr>
          <w:lang w:eastAsia="zh-CN"/>
        </w:rPr>
        <w:t>Camelyon16</w:t>
      </w:r>
      <w:r>
        <w:rPr>
          <w:lang w:eastAsia="zh-CN"/>
        </w:rPr>
        <w:t>挑战数据库。该数据库包含</w:t>
      </w:r>
      <w:r>
        <w:rPr>
          <w:lang w:eastAsia="zh-CN"/>
        </w:rPr>
        <w:t>400</w:t>
      </w:r>
      <w:r>
        <w:rPr>
          <w:lang w:eastAsia="zh-CN"/>
        </w:rPr>
        <w:t>张</w:t>
      </w:r>
      <w:r>
        <w:rPr>
          <w:lang w:eastAsia="zh-CN"/>
        </w:rPr>
        <w:t>40</w:t>
      </w:r>
      <w:r>
        <w:rPr>
          <w:lang w:eastAsia="zh-CN"/>
        </w:rPr>
        <w:t>倍镜下的</w:t>
      </w:r>
      <w:r>
        <w:rPr>
          <w:lang w:eastAsia="zh-CN"/>
        </w:rPr>
        <w:t>H&amp;E</w:t>
      </w:r>
      <w:r>
        <w:rPr>
          <w:lang w:eastAsia="zh-CN"/>
        </w:rPr>
        <w:t>染色切片全图。</w:t>
      </w:r>
      <w:proofErr w:type="spellStart"/>
      <w:r>
        <w:rPr>
          <w:lang w:eastAsia="zh-CN"/>
        </w:rPr>
        <w:t>PCam</w:t>
      </w:r>
      <w:proofErr w:type="spellEnd"/>
      <w:r>
        <w:rPr>
          <w:lang w:eastAsia="zh-CN"/>
        </w:rPr>
        <w:t>数据库产生于将</w:t>
      </w:r>
      <w:r>
        <w:rPr>
          <w:lang w:eastAsia="zh-CN"/>
        </w:rPr>
        <w:t>Camelyon16</w:t>
      </w:r>
      <w:r>
        <w:rPr>
          <w:lang w:eastAsia="zh-CN"/>
        </w:rPr>
        <w:t>挑战数据库的</w:t>
      </w:r>
      <w:r>
        <w:rPr>
          <w:lang w:eastAsia="zh-CN"/>
        </w:rPr>
        <w:t>40</w:t>
      </w:r>
      <w:r>
        <w:rPr>
          <w:lang w:eastAsia="zh-CN"/>
        </w:rPr>
        <w:t>倍镜成像缩小为</w:t>
      </w:r>
      <w:r>
        <w:rPr>
          <w:lang w:eastAsia="zh-CN"/>
        </w:rPr>
        <w:t>10</w:t>
      </w:r>
      <w:r>
        <w:rPr>
          <w:lang w:eastAsia="zh-CN"/>
        </w:rPr>
        <w:t>倍成像，且分割为</w:t>
      </w:r>
      <w:r>
        <w:rPr>
          <w:lang w:eastAsia="zh-CN"/>
        </w:rPr>
        <w:t>96*96</w:t>
      </w:r>
      <w:r>
        <w:rPr>
          <w:lang w:eastAsia="zh-CN"/>
        </w:rPr>
        <w:t>的小区域。本文训练</w:t>
      </w:r>
      <w:proofErr w:type="spellStart"/>
      <w:r>
        <w:rPr>
          <w:lang w:eastAsia="zh-CN"/>
        </w:rPr>
        <w:t>NASNet</w:t>
      </w:r>
      <w:proofErr w:type="spellEnd"/>
      <w:r>
        <w:rPr>
          <w:lang w:eastAsia="zh-CN"/>
        </w:rPr>
        <w:t>分类器使用的</w:t>
      </w:r>
      <w:r>
        <w:rPr>
          <w:lang w:eastAsia="zh-CN"/>
        </w:rPr>
        <w:t>Kaggle</w:t>
      </w:r>
      <w:r>
        <w:rPr>
          <w:lang w:eastAsia="zh-CN"/>
        </w:rPr>
        <w:t>数据库是</w:t>
      </w:r>
      <w:proofErr w:type="spellStart"/>
      <w:r>
        <w:rPr>
          <w:lang w:eastAsia="zh-CN"/>
        </w:rPr>
        <w:t>Pcam</w:t>
      </w:r>
      <w:proofErr w:type="spellEnd"/>
      <w:r>
        <w:rPr>
          <w:lang w:eastAsia="zh-CN"/>
        </w:rPr>
        <w:t>数据库的子集。</w:t>
      </w:r>
      <w:r>
        <w:rPr>
          <w:lang w:eastAsia="zh-CN"/>
        </w:rPr>
        <w:t>Kaggle</w:t>
      </w:r>
      <w:r>
        <w:rPr>
          <w:lang w:eastAsia="zh-CN"/>
        </w:rPr>
        <w:t>数据库和</w:t>
      </w:r>
      <w:proofErr w:type="spellStart"/>
      <w:r>
        <w:rPr>
          <w:lang w:eastAsia="zh-CN"/>
        </w:rPr>
        <w:t>Pcam</w:t>
      </w:r>
      <w:proofErr w:type="spellEnd"/>
      <w:r>
        <w:rPr>
          <w:lang w:eastAsia="zh-CN"/>
        </w:rPr>
        <w:t>数据库的差别在于</w:t>
      </w:r>
      <w:proofErr w:type="spellStart"/>
      <w:r>
        <w:rPr>
          <w:lang w:eastAsia="zh-CN"/>
        </w:rPr>
        <w:t>Pcam</w:t>
      </w:r>
      <w:proofErr w:type="spellEnd"/>
      <w:r>
        <w:rPr>
          <w:lang w:eastAsia="zh-CN"/>
        </w:rPr>
        <w:t>数据库中的重复的图片全部被去除了。</w:t>
      </w:r>
      <w:proofErr w:type="gramStart"/>
      <w:r>
        <w:t>（</w:t>
      </w:r>
      <w:r>
        <w:t>[</w:t>
      </w:r>
      <w:proofErr w:type="gramEnd"/>
      <w:r>
        <w:t>1] B. S. Veeling</w:t>
      </w:r>
      <w:r>
        <w:t>, J. Linmans, J. Winkens, T. Cohen, M. Welling. “Rotation Equivariant CNNs for Digital Pathology”. arXiv:1806.03962[2] Ehteshami Bejnordi et al. Diagnostic Assessment of Deep Learning Algorithms for Detection of Lymph Node Metastases in Women With Breast C</w:t>
      </w:r>
      <w:r>
        <w:t>ancer. JAMA: The Journal of the American Medical Association, 318(22), 2199–2210. doi:jama.2017.14585</w:t>
      </w:r>
      <w:r>
        <w:t>）</w:t>
      </w:r>
    </w:p>
    <w:p w:rsidR="004A55DD" w:rsidRDefault="00FC3E01">
      <w:pPr>
        <w:pStyle w:val="a0"/>
        <w:ind w:firstLine="480"/>
        <w:rPr>
          <w:lang w:eastAsia="zh-CN"/>
        </w:rPr>
      </w:pPr>
      <w:r>
        <w:rPr>
          <w:lang w:eastAsia="zh-CN"/>
        </w:rPr>
        <w:t>Kaggle HCD</w:t>
      </w:r>
      <w:r>
        <w:rPr>
          <w:lang w:eastAsia="zh-CN"/>
        </w:rPr>
        <w:t>数据库以在图像中心（</w:t>
      </w:r>
      <w:r>
        <w:rPr>
          <w:lang w:eastAsia="zh-CN"/>
        </w:rPr>
        <w:t>32*32</w:t>
      </w:r>
      <w:r>
        <w:rPr>
          <w:lang w:eastAsia="zh-CN"/>
        </w:rPr>
        <w:t>）区域是否包含至少一个像素的肿瘤组织为评判标准对所有图像数据进行了分类。</w:t>
      </w:r>
      <w:r>
        <w:rPr>
          <w:lang w:eastAsia="zh-CN"/>
        </w:rPr>
        <w:t>60%</w:t>
      </w:r>
      <w:r>
        <w:rPr>
          <w:lang w:eastAsia="zh-CN"/>
        </w:rPr>
        <w:t>的图像为阴性，即图像中心没有肿瘤组织；</w:t>
      </w:r>
      <w:r>
        <w:rPr>
          <w:lang w:eastAsia="zh-CN"/>
        </w:rPr>
        <w:t>40%</w:t>
      </w:r>
      <w:r>
        <w:rPr>
          <w:lang w:eastAsia="zh-CN"/>
        </w:rPr>
        <w:t>的图像为阳性，即图像中心至少有一个像素的肿瘤组织。于是，能实现出色分类的模型一定有分析肿瘤组织的能力。因为我们所研究的生存模型是以分析</w:t>
      </w:r>
      <w:r>
        <w:rPr>
          <w:lang w:eastAsia="zh-CN"/>
        </w:rPr>
        <w:t>肿瘤组织的图像为基础，所以该数据库训练出的模型很适用于之后生存模型的迁移学习。</w:t>
      </w:r>
    </w:p>
    <w:p w:rsidR="004A55DD" w:rsidRDefault="00FC3E01">
      <w:pPr>
        <w:pStyle w:val="a0"/>
        <w:ind w:firstLine="480"/>
        <w:rPr>
          <w:lang w:eastAsia="zh-CN"/>
        </w:rPr>
      </w:pPr>
      <w:r>
        <w:rPr>
          <w:lang w:eastAsia="zh-CN"/>
        </w:rPr>
        <w:t>可于</w:t>
      </w:r>
      <w:r>
        <w:fldChar w:fldCharType="begin"/>
      </w:r>
      <w:r>
        <w:rPr>
          <w:lang w:eastAsia="zh-CN"/>
        </w:rPr>
        <w:instrText xml:space="preserve"> HYPERLINK "https://www.kaggle.com/c/histopathologic-cancer-detection" \h </w:instrText>
      </w:r>
      <w:r>
        <w:fldChar w:fldCharType="separate"/>
      </w:r>
      <w:r>
        <w:rPr>
          <w:rStyle w:val="ae"/>
          <w:lang w:eastAsia="zh-CN"/>
        </w:rPr>
        <w:t>https://www.kaggle.com/c/histopathologic-cancer-detection</w:t>
      </w:r>
      <w:r>
        <w:rPr>
          <w:rStyle w:val="ae"/>
        </w:rPr>
        <w:fldChar w:fldCharType="end"/>
      </w:r>
      <w:r>
        <w:rPr>
          <w:lang w:eastAsia="zh-CN"/>
        </w:rPr>
        <w:t>访问</w:t>
      </w:r>
      <w:r>
        <w:rPr>
          <w:lang w:eastAsia="zh-CN"/>
        </w:rPr>
        <w:t>Kaggle HCD</w:t>
      </w:r>
      <w:r>
        <w:rPr>
          <w:lang w:eastAsia="zh-CN"/>
        </w:rPr>
        <w:t>数据库。</w:t>
      </w:r>
    </w:p>
    <w:p w:rsidR="004A55DD" w:rsidRDefault="00FC3E01">
      <w:pPr>
        <w:pStyle w:val="40"/>
        <w:rPr>
          <w:lang w:eastAsia="zh-CN"/>
        </w:rPr>
      </w:pPr>
      <w:bookmarkStart w:id="19" w:name="数据增强训练"/>
      <w:r>
        <w:rPr>
          <w:lang w:eastAsia="zh-CN"/>
        </w:rPr>
        <w:t>3.3.3 “</w:t>
      </w:r>
      <w:proofErr w:type="gramStart"/>
      <w:r>
        <w:rPr>
          <w:lang w:eastAsia="zh-CN"/>
        </w:rPr>
        <w:t>数据增强</w:t>
      </w:r>
      <w:r>
        <w:rPr>
          <w:lang w:eastAsia="zh-CN"/>
        </w:rPr>
        <w:t>”</w:t>
      </w:r>
      <w:r>
        <w:rPr>
          <w:lang w:eastAsia="zh-CN"/>
        </w:rPr>
        <w:t>训练</w:t>
      </w:r>
      <w:bookmarkEnd w:id="19"/>
      <w:proofErr w:type="gramEnd"/>
    </w:p>
    <w:p w:rsidR="004A55DD" w:rsidRDefault="00FC3E01">
      <w:pPr>
        <w:pStyle w:val="FirstParagraph"/>
        <w:ind w:firstLine="480"/>
        <w:rPr>
          <w:lang w:eastAsia="zh-CN"/>
        </w:rPr>
      </w:pPr>
      <w:r>
        <w:rPr>
          <w:lang w:eastAsia="zh-CN"/>
        </w:rPr>
        <w:t>由于高质量数据的获取需要大量资源，如人力、金钱、时间，数据量不足这一问题的解决不能仅仅依靠收集更</w:t>
      </w:r>
      <w:r>
        <w:rPr>
          <w:lang w:eastAsia="zh-CN"/>
        </w:rPr>
        <w:t>多数据这一手段。于是，在机器学习领域，通过对原始数据添加随机的轻微</w:t>
      </w:r>
      <w:r>
        <w:rPr>
          <w:lang w:eastAsia="zh-CN"/>
        </w:rPr>
        <w:t>“</w:t>
      </w:r>
      <w:r>
        <w:rPr>
          <w:lang w:eastAsia="zh-CN"/>
        </w:rPr>
        <w:t>扰动</w:t>
      </w:r>
      <w:r>
        <w:rPr>
          <w:lang w:eastAsia="zh-CN"/>
        </w:rPr>
        <w:t>”</w:t>
      </w:r>
      <w:r>
        <w:rPr>
          <w:lang w:eastAsia="zh-CN"/>
        </w:rPr>
        <w:t>生成新数据，即</w:t>
      </w:r>
      <w:r>
        <w:rPr>
          <w:lang w:eastAsia="zh-CN"/>
        </w:rPr>
        <w:t>“</w:t>
      </w:r>
      <w:r>
        <w:rPr>
          <w:lang w:eastAsia="zh-CN"/>
        </w:rPr>
        <w:t>数据增强</w:t>
      </w:r>
      <w:r>
        <w:rPr>
          <w:lang w:eastAsia="zh-CN"/>
        </w:rPr>
        <w:t>”</w:t>
      </w:r>
      <w:r>
        <w:rPr>
          <w:lang w:eastAsia="zh-CN"/>
        </w:rPr>
        <w:t>，研究人员很好地以低成本方式解决了数据量不足这一问题。</w:t>
      </w:r>
    </w:p>
    <w:p w:rsidR="004A55DD" w:rsidRDefault="00FC3E01">
      <w:pPr>
        <w:pStyle w:val="a0"/>
        <w:ind w:firstLine="480"/>
        <w:rPr>
          <w:lang w:eastAsia="zh-CN"/>
        </w:rPr>
      </w:pPr>
      <w:r>
        <w:rPr>
          <w:lang w:eastAsia="zh-CN"/>
        </w:rPr>
        <w:t>在图像中，</w:t>
      </w:r>
      <w:r>
        <w:rPr>
          <w:lang w:eastAsia="zh-CN"/>
        </w:rPr>
        <w:t>“</w:t>
      </w:r>
      <w:r>
        <w:rPr>
          <w:lang w:eastAsia="zh-CN"/>
        </w:rPr>
        <w:t>数据增强</w:t>
      </w:r>
      <w:r>
        <w:rPr>
          <w:lang w:eastAsia="zh-CN"/>
        </w:rPr>
        <w:t>”</w:t>
      </w:r>
      <w:r>
        <w:rPr>
          <w:lang w:eastAsia="zh-CN"/>
        </w:rPr>
        <w:t>的手段一般有翻转、旋转、亮度变化、切割等。我们在训练模型使用的</w:t>
      </w:r>
      <w:r>
        <w:rPr>
          <w:lang w:eastAsia="zh-CN"/>
        </w:rPr>
        <w:t>“</w:t>
      </w:r>
      <w:r>
        <w:rPr>
          <w:lang w:eastAsia="zh-CN"/>
        </w:rPr>
        <w:t>数据增强</w:t>
      </w:r>
      <w:r>
        <w:rPr>
          <w:lang w:eastAsia="zh-CN"/>
        </w:rPr>
        <w:t>”</w:t>
      </w:r>
      <w:r>
        <w:rPr>
          <w:lang w:eastAsia="zh-CN"/>
        </w:rPr>
        <w:t>方式如下表。</w:t>
      </w:r>
    </w:p>
    <w:p w:rsidR="004A55DD" w:rsidRDefault="00FC3E01">
      <w:pPr>
        <w:pStyle w:val="40"/>
        <w:rPr>
          <w:lang w:eastAsia="zh-CN"/>
        </w:rPr>
      </w:pPr>
      <w:bookmarkStart w:id="20" w:name="区域采集量"/>
      <w:r>
        <w:rPr>
          <w:lang w:eastAsia="zh-CN"/>
        </w:rPr>
        <w:t xml:space="preserve">3.3.4 </w:t>
      </w:r>
      <w:r>
        <w:rPr>
          <w:lang w:eastAsia="zh-CN"/>
        </w:rPr>
        <w:t>区域采集量</w:t>
      </w:r>
      <w:bookmarkEnd w:id="20"/>
    </w:p>
    <w:p w:rsidR="004A55DD" w:rsidRDefault="00FC3E01">
      <w:pPr>
        <w:pStyle w:val="FirstParagraph"/>
        <w:ind w:firstLine="480"/>
        <w:rPr>
          <w:lang w:eastAsia="zh-CN"/>
        </w:rPr>
      </w:pPr>
      <w:r>
        <w:rPr>
          <w:lang w:eastAsia="zh-CN"/>
        </w:rPr>
        <w:t>事件发生的时间能影响生存模型的损失函数。因此，训练生存模型时，每次训练需要将数据按时间顺序输入。于是，在此处，一般图像识别为避免数据次序影响时所用的乱序（</w:t>
      </w:r>
      <w:r>
        <w:rPr>
          <w:lang w:eastAsia="zh-CN"/>
        </w:rPr>
        <w:t>shuffle</w:t>
      </w:r>
      <w:r>
        <w:rPr>
          <w:lang w:eastAsia="zh-CN"/>
        </w:rPr>
        <w:t>）方法一定不能使用。同时，分批（</w:t>
      </w:r>
      <w:r>
        <w:rPr>
          <w:lang w:eastAsia="zh-CN"/>
        </w:rPr>
        <w:t>batch</w:t>
      </w:r>
      <w:r>
        <w:rPr>
          <w:lang w:eastAsia="zh-CN"/>
        </w:rPr>
        <w:t>）的数据输入</w:t>
      </w:r>
      <w:r>
        <w:rPr>
          <w:lang w:eastAsia="zh-CN"/>
        </w:rPr>
        <w:t>策略也不应使用。我们采用的方法是每次将全部样本一起输入进行训练。这样，每次训练时，一个样本需要从待</w:t>
      </w:r>
      <w:proofErr w:type="gramStart"/>
      <w:r>
        <w:rPr>
          <w:lang w:eastAsia="zh-CN"/>
        </w:rPr>
        <w:t>选区域</w:t>
      </w:r>
      <w:proofErr w:type="gramEnd"/>
      <w:r>
        <w:rPr>
          <w:lang w:eastAsia="zh-CN"/>
        </w:rPr>
        <w:t>里面选择</w:t>
      </w:r>
      <w:proofErr w:type="gramStart"/>
      <w:r>
        <w:rPr>
          <w:lang w:eastAsia="zh-CN"/>
        </w:rPr>
        <w:t>一</w:t>
      </w:r>
      <w:proofErr w:type="gramEnd"/>
      <w:r>
        <w:rPr>
          <w:lang w:eastAsia="zh-CN"/>
        </w:rPr>
        <w:t>张作为代表。此时，有效区域数量一定，如果待</w:t>
      </w:r>
      <w:proofErr w:type="gramStart"/>
      <w:r>
        <w:rPr>
          <w:lang w:eastAsia="zh-CN"/>
        </w:rPr>
        <w:t>选区域</w:t>
      </w:r>
      <w:proofErr w:type="gramEnd"/>
      <w:r>
        <w:rPr>
          <w:lang w:eastAsia="zh-CN"/>
        </w:rPr>
        <w:t>数量过多，那么选择到有效区域的几率将大大减小。故我们需要设置</w:t>
      </w:r>
      <w:proofErr w:type="spellStart"/>
      <w:r>
        <w:rPr>
          <w:lang w:eastAsia="zh-CN"/>
        </w:rPr>
        <w:t>NASNet</w:t>
      </w:r>
      <w:proofErr w:type="spellEnd"/>
      <w:r>
        <w:rPr>
          <w:lang w:eastAsia="zh-CN"/>
        </w:rPr>
        <w:t>分类器的筛选阈值，以最大程度地提高训练时训练数据选择到有效区域的可能。</w:t>
      </w:r>
    </w:p>
    <w:p w:rsidR="004A55DD" w:rsidRDefault="00FC3E01">
      <w:pPr>
        <w:pStyle w:val="30"/>
        <w:rPr>
          <w:lang w:eastAsia="zh-CN"/>
        </w:rPr>
      </w:pPr>
      <w:bookmarkStart w:id="21" w:name="训练"/>
      <w:r>
        <w:rPr>
          <w:lang w:eastAsia="zh-CN"/>
        </w:rPr>
        <w:lastRenderedPageBreak/>
        <w:t xml:space="preserve">3.4 </w:t>
      </w:r>
      <w:r>
        <w:rPr>
          <w:lang w:eastAsia="zh-CN"/>
        </w:rPr>
        <w:t>训练</w:t>
      </w:r>
      <w:bookmarkEnd w:id="21"/>
    </w:p>
    <w:p w:rsidR="004A55DD" w:rsidRDefault="00FC3E01">
      <w:pPr>
        <w:pStyle w:val="FirstParagraph"/>
        <w:ind w:firstLine="480"/>
      </w:pPr>
      <w:r>
        <w:rPr>
          <w:lang w:eastAsia="zh-CN"/>
        </w:rPr>
        <w:t>在训练时，我们运用了迁移学习（</w:t>
      </w:r>
      <w:r>
        <w:rPr>
          <w:lang w:eastAsia="zh-CN"/>
        </w:rPr>
        <w:t>Transfer learning</w:t>
      </w:r>
      <w:r>
        <w:rPr>
          <w:lang w:eastAsia="zh-CN"/>
        </w:rPr>
        <w:t>）策略。迁移学习是一种机器学习研究方法。简单而言，该方法将解决一个问题的</w:t>
      </w:r>
      <w:r>
        <w:rPr>
          <w:lang w:eastAsia="zh-CN"/>
        </w:rPr>
        <w:t>“</w:t>
      </w:r>
      <w:r>
        <w:rPr>
          <w:lang w:eastAsia="zh-CN"/>
        </w:rPr>
        <w:t>知识</w:t>
      </w:r>
      <w:r>
        <w:rPr>
          <w:lang w:eastAsia="zh-CN"/>
        </w:rPr>
        <w:t>”</w:t>
      </w:r>
      <w:r>
        <w:rPr>
          <w:lang w:eastAsia="zh-CN"/>
        </w:rPr>
        <w:t>存储，然后应用于不同但类似的问题。比如，可尝试使</w:t>
      </w:r>
      <w:r>
        <w:rPr>
          <w:lang w:eastAsia="zh-CN"/>
        </w:rPr>
        <w:t>用识别轿车的模型对卡车进行识别。</w:t>
      </w:r>
      <w:r>
        <w:rPr>
          <w:lang w:eastAsia="zh-CN"/>
        </w:rPr>
        <w:t xml:space="preserve"> </w:t>
      </w:r>
      <w:r>
        <w:t>（</w:t>
      </w:r>
      <w:r>
        <w:t>West, Jeremy; Ventura, Dan; Warnick, Sean (2007). “Spring Research Presentation: A Theoretical Foundation for Inductive Transfer”. Brigham Young University, College of Physical and Mathematical Sciences. Archived from the original on 2007</w:t>
      </w:r>
      <w:r>
        <w:t>-08-01. Retrieved 2007-08-05.</w:t>
      </w:r>
      <w:r>
        <w:t>）</w:t>
      </w:r>
    </w:p>
    <w:p w:rsidR="004A55DD" w:rsidRDefault="00FC3E01">
      <w:pPr>
        <w:pStyle w:val="40"/>
      </w:pPr>
      <w:bookmarkStart w:id="22" w:name="snas生存模型架构"/>
      <w:r>
        <w:t>3.4.1 SNAS</w:t>
      </w:r>
      <w:r>
        <w:t>生存模型架构</w:t>
      </w:r>
      <w:bookmarkEnd w:id="22"/>
    </w:p>
    <w:p w:rsidR="004A55DD" w:rsidRDefault="00FC3E01">
      <w:pPr>
        <w:pStyle w:val="CaptionedFigure"/>
      </w:pPr>
      <w:r>
        <w:rPr>
          <w:noProof/>
        </w:rPr>
        <w:drawing>
          <wp:inline distT="0" distB="0" distL="0" distR="0">
            <wp:extent cx="5334000" cy="3357865"/>
            <wp:effectExtent l="0" t="0" r="0" b="0"/>
            <wp:docPr id="2" name="Picture" descr="chartflow" title="实验流程图"/>
            <wp:cNvGraphicFramePr/>
            <a:graphic xmlns:a="http://schemas.openxmlformats.org/drawingml/2006/main">
              <a:graphicData uri="http://schemas.openxmlformats.org/drawingml/2006/picture">
                <pic:pic xmlns:pic="http://schemas.openxmlformats.org/drawingml/2006/picture">
                  <pic:nvPicPr>
                    <pic:cNvPr id="0" name="Picture" descr="D:\Project\Survival-Analysis-by-Breast-Cancer-Slides\imgs\model.png"/>
                    <pic:cNvPicPr>
                      <a:picLocks noChangeAspect="1" noChangeArrowheads="1"/>
                    </pic:cNvPicPr>
                  </pic:nvPicPr>
                  <pic:blipFill>
                    <a:blip r:embed="rId10"/>
                    <a:stretch>
                      <a:fillRect/>
                    </a:stretch>
                  </pic:blipFill>
                  <pic:spPr bwMode="auto">
                    <a:xfrm>
                      <a:off x="0" y="0"/>
                      <a:ext cx="5334000" cy="3357865"/>
                    </a:xfrm>
                    <a:prstGeom prst="rect">
                      <a:avLst/>
                    </a:prstGeom>
                    <a:noFill/>
                    <a:ln w="9525">
                      <a:noFill/>
                      <a:headEnd/>
                      <a:tailEnd/>
                    </a:ln>
                  </pic:spPr>
                </pic:pic>
              </a:graphicData>
            </a:graphic>
          </wp:inline>
        </w:drawing>
      </w:r>
    </w:p>
    <w:p w:rsidR="004A55DD" w:rsidRDefault="00FC3E01">
      <w:pPr>
        <w:pStyle w:val="ImageCaption"/>
        <w:rPr>
          <w:lang w:eastAsia="zh-CN"/>
        </w:rPr>
      </w:pPr>
      <w:proofErr w:type="spellStart"/>
      <w:r>
        <w:rPr>
          <w:lang w:eastAsia="zh-CN"/>
        </w:rPr>
        <w:t>chartflow</w:t>
      </w:r>
      <w:proofErr w:type="spellEnd"/>
    </w:p>
    <w:p w:rsidR="004A55DD" w:rsidRDefault="00FC3E01">
      <w:pPr>
        <w:pStyle w:val="a0"/>
        <w:ind w:firstLine="480"/>
      </w:pPr>
      <w:r>
        <w:rPr>
          <w:lang w:eastAsia="zh-CN"/>
        </w:rPr>
        <w:t>SNAS</w:t>
      </w:r>
      <w:r>
        <w:rPr>
          <w:lang w:eastAsia="zh-CN"/>
        </w:rPr>
        <w:t>生存模型的第一层由</w:t>
      </w:r>
      <w:r>
        <w:rPr>
          <w:lang w:eastAsia="zh-CN"/>
        </w:rPr>
        <w:t>96*96*3</w:t>
      </w:r>
      <w:r>
        <w:rPr>
          <w:lang w:eastAsia="zh-CN"/>
        </w:rPr>
        <w:t>的数据输入层，之后则是</w:t>
      </w:r>
      <w:proofErr w:type="spellStart"/>
      <w:r>
        <w:rPr>
          <w:lang w:eastAsia="zh-CN"/>
        </w:rPr>
        <w:t>NASNet</w:t>
      </w:r>
      <w:proofErr w:type="spellEnd"/>
      <w:r>
        <w:rPr>
          <w:lang w:eastAsia="zh-CN"/>
        </w:rPr>
        <w:t>层。</w:t>
      </w:r>
      <w:proofErr w:type="spellStart"/>
      <w:r>
        <w:rPr>
          <w:lang w:eastAsia="zh-CN"/>
        </w:rPr>
        <w:t>NASNet</w:t>
      </w:r>
      <w:proofErr w:type="spellEnd"/>
      <w:r>
        <w:rPr>
          <w:lang w:eastAsia="zh-CN"/>
        </w:rPr>
        <w:t>层会产生</w:t>
      </w:r>
      <w:r>
        <w:rPr>
          <w:lang w:eastAsia="zh-CN"/>
        </w:rPr>
        <w:t>3</w:t>
      </w:r>
      <w:r>
        <w:rPr>
          <w:lang w:eastAsia="zh-CN"/>
        </w:rPr>
        <w:t>组数据，合并层将</w:t>
      </w:r>
      <w:r>
        <w:rPr>
          <w:lang w:eastAsia="zh-CN"/>
        </w:rPr>
        <w:t>3</w:t>
      </w:r>
      <w:r>
        <w:rPr>
          <w:lang w:eastAsia="zh-CN"/>
        </w:rPr>
        <w:t>组数据合并；合并的数据经过一个随机丢失层后输入一个全连接层；最后是基于全连接层的生存预测层。</w:t>
      </w:r>
      <w:r>
        <w:t>两个全连接层均使用</w:t>
      </w:r>
      <w:r>
        <w:t>L2</w:t>
      </w:r>
      <w:r>
        <w:t>函数</w:t>
      </w:r>
    </w:p>
    <w:p w:rsidR="004A55DD" w:rsidRDefault="00FC3E01">
      <w:pPr>
        <w:pStyle w:val="a0"/>
        <w:ind w:firstLine="480"/>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p>
            <m:sSupPr>
              <m:ctrlPr>
                <w:rPr>
                  <w:rFonts w:ascii="Cambria Math" w:hAnsi="Cambria Math"/>
                </w:rPr>
              </m:ctrlPr>
            </m:sSupPr>
            <m:e>
              <m:r>
                <w:rPr>
                  <w:rFonts w:ascii="Cambria Math" w:hAnsi="Cambria Math"/>
                </w:rPr>
                <m:t>y</m:t>
              </m:r>
            </m:e>
            <m:sup>
              <m:r>
                <w:rPr>
                  <w:rFonts w:ascii="Cambria Math" w:hAnsi="Cambria Math"/>
                </w:rPr>
                <m:t>(</m:t>
              </m:r>
              <m:r>
                <w:rPr>
                  <w:rFonts w:ascii="Cambria Math" w:hAnsi="Cambria Math"/>
                </w:rPr>
                <m:t>i</m:t>
              </m:r>
              <m:r>
                <w:rPr>
                  <w:rFonts w:ascii="Cambria Math" w:hAnsi="Cambria Math"/>
                </w:rPr>
                <m:t>)</m:t>
              </m:r>
            </m:sup>
          </m:sSup>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m:t>
              </m:r>
              <m:r>
                <w:rPr>
                  <w:rFonts w:ascii="Cambria Math" w:hAnsi="Cambria Math"/>
                </w:rPr>
                <m:t>i</m:t>
              </m:r>
              <m:r>
                <w:rPr>
                  <w:rFonts w:ascii="Cambria Math" w:hAnsi="Cambria Math"/>
                </w:rPr>
                <m:t>)</m:t>
              </m:r>
            </m:sup>
          </m:sSup>
          <m:sSup>
            <m:sSupPr>
              <m:ctrlPr>
                <w:rPr>
                  <w:rFonts w:ascii="Cambria Math" w:hAnsi="Cambria Math"/>
                </w:rPr>
              </m:ctrlPr>
            </m:sSupPr>
            <m:e>
              <m:r>
                <w:rPr>
                  <w:rFonts w:ascii="Cambria Math" w:hAnsi="Cambria Math"/>
                </w:rPr>
                <m:t>)</m:t>
              </m:r>
            </m:e>
            <m:sup>
              <m:r>
                <w:rPr>
                  <w:rFonts w:ascii="Cambria Math" w:hAnsi="Cambria Math"/>
                </w:rPr>
                <m:t>2</m:t>
              </m:r>
            </m:sup>
          </m:sSup>
        </m:oMath>
      </m:oMathPara>
    </w:p>
    <w:p w:rsidR="004A55DD" w:rsidRDefault="00FC3E01">
      <w:pPr>
        <w:pStyle w:val="FirstParagraph"/>
        <w:ind w:firstLine="480"/>
      </w:pPr>
      <w:r>
        <w:t>作为核规范器（</w:t>
      </w:r>
      <w:r>
        <w:t>kernel regularizer</w:t>
      </w:r>
      <w:r>
        <w:t>）、运算规范器（</w:t>
      </w:r>
      <w:r>
        <w:t>activity regularizer</w:t>
      </w:r>
      <w:r>
        <w:t>），以</w:t>
      </w:r>
      <w:r>
        <w:t>Glorot</w:t>
      </w:r>
      <w:r>
        <w:t>均衡起始器（</w:t>
      </w:r>
      <w:r>
        <w:t>Glorot uniform initializer,</w:t>
      </w:r>
      <w:r>
        <w:t>或称</w:t>
      </w:r>
      <w:r>
        <w:t>Xavier unifor</w:t>
      </w:r>
      <w:r>
        <w:t>m initializer</w:t>
      </w:r>
      <w:r>
        <w:t>）以促进损失函数收敛，防止过度拟合，增强其普遍化的能力。（</w:t>
      </w:r>
      <w:r>
        <w:t>Understanding the difficulty of training deep feedforward neural networks</w:t>
      </w:r>
      <w:r>
        <w:t>）</w:t>
      </w:r>
    </w:p>
    <w:p w:rsidR="004A55DD" w:rsidRDefault="00FC3E01">
      <w:pPr>
        <w:pStyle w:val="a0"/>
        <w:ind w:firstLine="480"/>
        <w:rPr>
          <w:lang w:eastAsia="zh-CN"/>
        </w:rPr>
      </w:pPr>
      <w:r>
        <w:rPr>
          <w:lang w:eastAsia="zh-CN"/>
        </w:rPr>
        <w:lastRenderedPageBreak/>
        <w:t>从架构可见，我们将</w:t>
      </w:r>
      <w:proofErr w:type="spellStart"/>
      <w:r>
        <w:rPr>
          <w:lang w:eastAsia="zh-CN"/>
        </w:rPr>
        <w:t>NASNet</w:t>
      </w:r>
      <w:proofErr w:type="spellEnd"/>
      <w:r>
        <w:rPr>
          <w:lang w:eastAsia="zh-CN"/>
        </w:rPr>
        <w:t>同样应用于生存模型中，设计得到我们的</w:t>
      </w:r>
      <w:r>
        <w:rPr>
          <w:lang w:eastAsia="zh-CN"/>
        </w:rPr>
        <w:t>SNAS</w:t>
      </w:r>
      <w:r>
        <w:rPr>
          <w:lang w:eastAsia="zh-CN"/>
        </w:rPr>
        <w:t>。</w:t>
      </w:r>
      <w:proofErr w:type="spellStart"/>
      <w:r>
        <w:rPr>
          <w:lang w:eastAsia="zh-CN"/>
        </w:rPr>
        <w:t>NASNet</w:t>
      </w:r>
      <w:proofErr w:type="spellEnd"/>
      <w:r>
        <w:rPr>
          <w:lang w:eastAsia="zh-CN"/>
        </w:rPr>
        <w:t>含有近</w:t>
      </w:r>
      <w:proofErr w:type="gramStart"/>
      <w:r>
        <w:rPr>
          <w:lang w:eastAsia="zh-CN"/>
        </w:rPr>
        <w:t>4.27e+07</w:t>
      </w:r>
      <w:r>
        <w:rPr>
          <w:lang w:eastAsia="zh-CN"/>
        </w:rPr>
        <w:t>个参数。这些参数由学习</w:t>
      </w:r>
      <w:r>
        <w:rPr>
          <w:lang w:eastAsia="zh-CN"/>
        </w:rPr>
        <w:t>Kaggle</w:t>
      </w:r>
      <w:r>
        <w:rPr>
          <w:lang w:eastAsia="zh-CN"/>
        </w:rPr>
        <w:t>数据库得到</w:t>
      </w:r>
      <w:proofErr w:type="gramEnd"/>
      <w:r>
        <w:rPr>
          <w:lang w:eastAsia="zh-CN"/>
        </w:rPr>
        <w:t>。我们将</w:t>
      </w:r>
      <w:proofErr w:type="spellStart"/>
      <w:r>
        <w:rPr>
          <w:lang w:eastAsia="zh-CN"/>
        </w:rPr>
        <w:t>NASNet</w:t>
      </w:r>
      <w:proofErr w:type="spellEnd"/>
      <w:r>
        <w:rPr>
          <w:lang w:eastAsia="zh-CN"/>
        </w:rPr>
        <w:t>层的参数冻结，以存储训练于</w:t>
      </w:r>
      <w:r>
        <w:rPr>
          <w:lang w:eastAsia="zh-CN"/>
        </w:rPr>
        <w:t>Kaggle</w:t>
      </w:r>
      <w:r>
        <w:rPr>
          <w:lang w:eastAsia="zh-CN"/>
        </w:rPr>
        <w:t>数据库能识别肿瘤区域的能力，实现迁移学习。</w:t>
      </w:r>
    </w:p>
    <w:p w:rsidR="004A55DD" w:rsidRDefault="00FC3E01">
      <w:pPr>
        <w:pStyle w:val="a0"/>
        <w:ind w:firstLine="480"/>
      </w:pPr>
      <w:proofErr w:type="spellStart"/>
      <w:r>
        <w:t>生存模型在机器学习中使</w:t>
      </w:r>
      <w:r>
        <w:t>用了一个特殊的损失函数，即负对数似然损失函数（</w:t>
      </w:r>
      <w:r>
        <w:t>negative</w:t>
      </w:r>
      <w:proofErr w:type="spellEnd"/>
      <w:r>
        <w:t xml:space="preserve"> log likelihood loss function</w:t>
      </w:r>
      <w:r>
        <w:t>）</w:t>
      </w:r>
    </w:p>
    <w:p w:rsidR="004A55DD" w:rsidRDefault="00FC3E01">
      <w:pPr>
        <w:pStyle w:val="a0"/>
        <w:ind w:firstLine="480"/>
      </w:pPr>
      <m:oMathPara>
        <m:oMathParaPr>
          <m:jc m:val="center"/>
        </m:oMathParaPr>
        <m:oMath>
          <m:r>
            <m:rPr>
              <m:scr m:val="script"/>
              <m:sty m:val="p"/>
            </m:rPr>
            <w:rPr>
              <w:rFonts w:ascii="Cambria Math" w:hAnsi="Cambria Math"/>
            </w:rPr>
            <m:t>L</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m:rPr>
                  <m:sty m:val="p"/>
                </m:rPr>
                <w:rPr>
                  <w:rFonts w:ascii="Cambria Math" w:hAnsi="Cambria Math"/>
                </w:rPr>
                <m:t>log</m:t>
              </m:r>
            </m:e>
          </m:nary>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m:t>
              </m:r>
              <m:r>
                <w:rPr>
                  <w:rFonts w:ascii="Cambria Math" w:hAnsi="Cambria Math"/>
                </w:rPr>
                <m:t>i</m:t>
              </m:r>
              <m:r>
                <w:rPr>
                  <w:rFonts w:ascii="Cambria Math" w:hAnsi="Cambria Math"/>
                </w:rPr>
                <m:t>)</m:t>
              </m:r>
            </m:sup>
          </m:sSup>
          <m:r>
            <w:rPr>
              <w:rFonts w:ascii="Cambria Math" w:hAnsi="Cambria Math"/>
            </w:rPr>
            <m:t>)</m:t>
          </m:r>
        </m:oMath>
      </m:oMathPara>
    </w:p>
    <w:p w:rsidR="004A55DD" w:rsidRDefault="00FC3E01">
      <w:pPr>
        <w:pStyle w:val="40"/>
        <w:rPr>
          <w:lang w:eastAsia="zh-CN"/>
        </w:rPr>
      </w:pPr>
      <w:bookmarkStart w:id="23" w:name="随机区域选择"/>
      <w:r>
        <w:rPr>
          <w:lang w:eastAsia="zh-CN"/>
        </w:rPr>
        <w:t xml:space="preserve">3.4.2 </w:t>
      </w:r>
      <w:r>
        <w:rPr>
          <w:lang w:eastAsia="zh-CN"/>
        </w:rPr>
        <w:t>随机区域选择</w:t>
      </w:r>
      <w:bookmarkEnd w:id="23"/>
    </w:p>
    <w:p w:rsidR="004A55DD" w:rsidRDefault="00FC3E01">
      <w:pPr>
        <w:pStyle w:val="FirstParagraph"/>
        <w:ind w:firstLine="480"/>
        <w:rPr>
          <w:lang w:eastAsia="zh-CN"/>
        </w:rPr>
      </w:pPr>
      <w:r>
        <w:rPr>
          <w:lang w:eastAsia="zh-CN"/>
        </w:rPr>
        <w:t>如我们在区域采集量中提到的生存模型训练的需求</w:t>
      </w:r>
      <w:r>
        <w:rPr>
          <w:lang w:eastAsia="zh-CN"/>
        </w:rPr>
        <w:t>——</w:t>
      </w:r>
      <w:r>
        <w:rPr>
          <w:lang w:eastAsia="zh-CN"/>
        </w:rPr>
        <w:t>数据需要按照时间顺序排序，同时损失函数会因数据选取（不同时间点，数量大小）而变化。于是，我们每次选取一个区域代表样本，然后将所有样本输入进行训练。由于我们没有相应的专业人员对我们的区域进行人工筛选或鉴定，此处我们只能采用随机选取的方法，即从</w:t>
      </w:r>
      <w:proofErr w:type="spellStart"/>
      <w:r>
        <w:rPr>
          <w:lang w:eastAsia="zh-CN"/>
        </w:rPr>
        <w:t>NASNet</w:t>
      </w:r>
      <w:proofErr w:type="spellEnd"/>
      <w:r>
        <w:rPr>
          <w:lang w:eastAsia="zh-CN"/>
        </w:rPr>
        <w:t>分类器筛选的某</w:t>
      </w:r>
      <w:r>
        <w:rPr>
          <w:lang w:eastAsia="zh-CN"/>
        </w:rPr>
        <w:t>样本区域中随机挑选一个区域代表该样本。</w:t>
      </w:r>
    </w:p>
    <w:p w:rsidR="004A55DD" w:rsidRDefault="00FC3E01">
      <w:pPr>
        <w:pStyle w:val="30"/>
        <w:rPr>
          <w:lang w:eastAsia="zh-CN"/>
        </w:rPr>
      </w:pPr>
      <w:bookmarkStart w:id="24" w:name="批量预测"/>
      <w:r>
        <w:rPr>
          <w:lang w:eastAsia="zh-CN"/>
        </w:rPr>
        <w:t xml:space="preserve">3.5 </w:t>
      </w:r>
      <w:r>
        <w:rPr>
          <w:lang w:eastAsia="zh-CN"/>
        </w:rPr>
        <w:t>批量预测</w:t>
      </w:r>
      <w:bookmarkEnd w:id="24"/>
    </w:p>
    <w:p w:rsidR="004A55DD" w:rsidRDefault="00FC3E01">
      <w:pPr>
        <w:pStyle w:val="FirstParagraph"/>
        <w:ind w:firstLine="480"/>
        <w:rPr>
          <w:lang w:eastAsia="zh-CN"/>
        </w:rPr>
      </w:pPr>
      <w:r>
        <w:rPr>
          <w:lang w:eastAsia="zh-CN"/>
        </w:rPr>
        <w:t>应对肿瘤内异质性，我们参考了</w:t>
      </w:r>
      <w:r>
        <w:rPr>
          <w:lang w:eastAsia="zh-CN"/>
        </w:rPr>
        <w:t>PNAs</w:t>
      </w:r>
      <w:r>
        <w:rPr>
          <w:lang w:eastAsia="zh-CN"/>
        </w:rPr>
        <w:t>文章中使用的方法，即随机选取多个区域进行预测，然后选择风险预测值最大或者第二大的结果代表此样本的生存风险。在临床中，医务工作者对肿瘤发展的评估是根据肿瘤患者以各病患处表现出的最严重的特征。比如，若患者某处的组织已表现</w:t>
      </w:r>
      <w:proofErr w:type="gramStart"/>
      <w:r>
        <w:rPr>
          <w:lang w:eastAsia="zh-CN"/>
        </w:rPr>
        <w:t>出转移</w:t>
      </w:r>
      <w:proofErr w:type="gramEnd"/>
      <w:r>
        <w:rPr>
          <w:lang w:eastAsia="zh-CN"/>
        </w:rPr>
        <w:t>瘤特征，而其他地方的肿瘤尚处于良性阶段，该患者的生存情况将会依据转移瘤的特征进行评估。在</w:t>
      </w:r>
      <w:r>
        <w:rPr>
          <w:lang w:eastAsia="zh-CN"/>
        </w:rPr>
        <w:t>TNM</w:t>
      </w:r>
      <w:r>
        <w:rPr>
          <w:lang w:eastAsia="zh-CN"/>
        </w:rPr>
        <w:t>（</w:t>
      </w:r>
      <w:r>
        <w:rPr>
          <w:lang w:eastAsia="zh-CN"/>
        </w:rPr>
        <w:t>Tumor</w:t>
      </w:r>
      <w:r>
        <w:rPr>
          <w:lang w:eastAsia="zh-CN"/>
        </w:rPr>
        <w:t>，</w:t>
      </w:r>
      <w:r>
        <w:rPr>
          <w:lang w:eastAsia="zh-CN"/>
        </w:rPr>
        <w:t>Node</w:t>
      </w:r>
      <w:r>
        <w:rPr>
          <w:lang w:eastAsia="zh-CN"/>
        </w:rPr>
        <w:t>，</w:t>
      </w:r>
      <w:r>
        <w:rPr>
          <w:lang w:eastAsia="zh-CN"/>
        </w:rPr>
        <w:t>Metastasis</w:t>
      </w:r>
      <w:r>
        <w:rPr>
          <w:lang w:eastAsia="zh-CN"/>
        </w:rPr>
        <w:t>；肿瘤，结节，转移）系统中会被评估为</w:t>
      </w:r>
      <w:r>
        <w:rPr>
          <w:lang w:eastAsia="zh-CN"/>
        </w:rPr>
        <w:t>M</w:t>
      </w:r>
      <w:r>
        <w:rPr>
          <w:lang w:eastAsia="zh-CN"/>
        </w:rPr>
        <w:t>阶段。</w:t>
      </w:r>
      <w:r>
        <w:t>（</w:t>
      </w:r>
      <w:r>
        <w:t xml:space="preserve">Brierley, J.D.; </w:t>
      </w:r>
      <w:proofErr w:type="spellStart"/>
      <w:r>
        <w:t>Gospodarowicz</w:t>
      </w:r>
      <w:proofErr w:type="spellEnd"/>
      <w:r>
        <w:t>, M.K.</w:t>
      </w:r>
      <w:r>
        <w:t xml:space="preserve">; Wittekind, Ch., eds. (2017). TNM classification of malignant tumors (8th ed.). Chichester, West Sussex, UK: Wiley-Blackwell. </w:t>
      </w:r>
      <w:r>
        <w:rPr>
          <w:lang w:eastAsia="zh-CN"/>
        </w:rPr>
        <w:t>ISBN 978-1-4443-3241-</w:t>
      </w:r>
      <w:proofErr w:type="gramStart"/>
      <w:r>
        <w:rPr>
          <w:lang w:eastAsia="zh-CN"/>
        </w:rPr>
        <w:t>4.</w:t>
      </w:r>
      <w:r>
        <w:rPr>
          <w:lang w:eastAsia="zh-CN"/>
        </w:rPr>
        <w:t>）</w:t>
      </w:r>
      <w:proofErr w:type="gramEnd"/>
      <w:r>
        <w:rPr>
          <w:lang w:eastAsia="zh-CN"/>
        </w:rPr>
        <w:t>同时，从肿瘤学上讲，在很大程度上，癌症的治疗和存活是通过其是否保持局部化或已扩散到身体的其他位置来决定的。如果癌症已经能转移到其他组织或器官，患者的死亡可能性通常会显着增加。</w:t>
      </w:r>
      <w:r>
        <w:t>（</w:t>
      </w:r>
      <w:r>
        <w:t xml:space="preserve"> Klein CA (Septem</w:t>
      </w:r>
      <w:r>
        <w:t xml:space="preserve">ber 2008). “Cancer. The metastasis cascade”. Science. 321 (5897): 1785–7. doi:10.1126/science.1164853. </w:t>
      </w:r>
      <w:r>
        <w:rPr>
          <w:lang w:eastAsia="zh-CN"/>
        </w:rPr>
        <w:t xml:space="preserve">PMID </w:t>
      </w:r>
      <w:proofErr w:type="gramStart"/>
      <w:r>
        <w:rPr>
          <w:lang w:eastAsia="zh-CN"/>
        </w:rPr>
        <w:t>18818347.</w:t>
      </w:r>
      <w:r>
        <w:rPr>
          <w:lang w:eastAsia="zh-CN"/>
        </w:rPr>
        <w:t>）</w:t>
      </w:r>
      <w:proofErr w:type="gramEnd"/>
    </w:p>
    <w:p w:rsidR="004A55DD" w:rsidRDefault="00FC3E01">
      <w:pPr>
        <w:pStyle w:val="40"/>
        <w:rPr>
          <w:lang w:eastAsia="zh-CN"/>
        </w:rPr>
      </w:pPr>
      <w:bookmarkStart w:id="25" w:name="随机多区域选择"/>
      <w:r>
        <w:rPr>
          <w:lang w:eastAsia="zh-CN"/>
        </w:rPr>
        <w:t xml:space="preserve">3.5.1 </w:t>
      </w:r>
      <w:r>
        <w:rPr>
          <w:lang w:eastAsia="zh-CN"/>
        </w:rPr>
        <w:t>随机多区域选择</w:t>
      </w:r>
      <w:bookmarkEnd w:id="25"/>
    </w:p>
    <w:p w:rsidR="004A55DD" w:rsidRDefault="00FC3E01">
      <w:pPr>
        <w:pStyle w:val="FirstParagraph"/>
        <w:ind w:firstLine="480"/>
        <w:rPr>
          <w:lang w:eastAsia="zh-CN"/>
        </w:rPr>
      </w:pPr>
      <w:r>
        <w:rPr>
          <w:lang w:eastAsia="zh-CN"/>
        </w:rPr>
        <w:t>经验上讲，分析参考的区域越多，得到准确预测的可能性越大。然而，增加区域参考量的同时，需要的计算资源也会同时增加。于是，我们需要在计算资源的限制下，尽可能多地选择区域的情况。同时，由于用</w:t>
      </w:r>
      <w:proofErr w:type="spellStart"/>
      <w:r>
        <w:rPr>
          <w:lang w:eastAsia="zh-CN"/>
        </w:rPr>
        <w:t>NASNet</w:t>
      </w:r>
      <w:proofErr w:type="spellEnd"/>
      <w:r>
        <w:rPr>
          <w:lang w:eastAsia="zh-CN"/>
        </w:rPr>
        <w:t>分类器选择出的有效区域数量有限，如果选择的区域数量</w:t>
      </w:r>
      <w:r>
        <w:rPr>
          <w:lang w:eastAsia="zh-CN"/>
        </w:rPr>
        <w:t>太大，只会重复分析同一区域，平白消耗计算资源。结合计算机科学中对</w:t>
      </w:r>
      <w:r>
        <w:rPr>
          <w:lang w:eastAsia="zh-CN"/>
        </w:rPr>
        <w:t>42</w:t>
      </w:r>
      <w:r>
        <w:rPr>
          <w:lang w:eastAsia="zh-CN"/>
        </w:rPr>
        <w:t>的经验认同，在模型评估时，我们选择的</w:t>
      </w:r>
      <w:r>
        <w:rPr>
          <w:lang w:eastAsia="zh-CN"/>
        </w:rPr>
        <w:t>42</w:t>
      </w:r>
      <w:r>
        <w:rPr>
          <w:lang w:eastAsia="zh-CN"/>
        </w:rPr>
        <w:t>个区域供模型分析。</w:t>
      </w:r>
    </w:p>
    <w:p w:rsidR="004A55DD" w:rsidRDefault="00FC3E01">
      <w:pPr>
        <w:pStyle w:val="30"/>
        <w:rPr>
          <w:lang w:eastAsia="zh-CN"/>
        </w:rPr>
      </w:pPr>
      <w:bookmarkStart w:id="26" w:name="超参数hyperparameter优化"/>
      <w:r>
        <w:rPr>
          <w:lang w:eastAsia="zh-CN"/>
        </w:rPr>
        <w:lastRenderedPageBreak/>
        <w:t xml:space="preserve">3.6 </w:t>
      </w:r>
      <w:r>
        <w:rPr>
          <w:lang w:eastAsia="zh-CN"/>
        </w:rPr>
        <w:t>超参数（</w:t>
      </w:r>
      <w:r>
        <w:rPr>
          <w:lang w:eastAsia="zh-CN"/>
        </w:rPr>
        <w:t>hyperparameter</w:t>
      </w:r>
      <w:r>
        <w:rPr>
          <w:lang w:eastAsia="zh-CN"/>
        </w:rPr>
        <w:t>）优化</w:t>
      </w:r>
      <w:bookmarkEnd w:id="26"/>
    </w:p>
    <w:p w:rsidR="004A55DD" w:rsidRDefault="00FC3E01">
      <w:pPr>
        <w:pStyle w:val="FirstParagraph"/>
        <w:ind w:firstLine="480"/>
        <w:rPr>
          <w:lang w:eastAsia="zh-CN"/>
        </w:rPr>
      </w:pPr>
      <w:r>
        <w:rPr>
          <w:lang w:eastAsia="zh-CN"/>
        </w:rPr>
        <w:t>在机器学习中，虽然参数的值可以通过训练得出，但在学习过程开始之前，我们需要对模型本身设置参数。这一模型训练前需要设置的参数即为超参数。需要通过实验测试以实现合理超参数的设定。</w:t>
      </w:r>
    </w:p>
    <w:p w:rsidR="004A55DD" w:rsidRDefault="00FC3E01">
      <w:pPr>
        <w:pStyle w:val="a0"/>
        <w:ind w:firstLine="480"/>
        <w:rPr>
          <w:lang w:eastAsia="zh-CN"/>
        </w:rPr>
      </w:pPr>
      <w:r>
        <w:rPr>
          <w:lang w:eastAsia="zh-CN"/>
        </w:rPr>
        <w:t>超参数的选择能决定训练和测试模型所需的时间。同时，超参数能显著影响模型的表现。然而，超参数通常是连续或整数类型，其模型相应的表现结果变化不一定是有规律的；比</w:t>
      </w:r>
      <w:r>
        <w:rPr>
          <w:lang w:eastAsia="zh-CN"/>
        </w:rPr>
        <w:t>较模型的表现又需要用新的超参数重头训练。因此，虽然找到良好的超参数组合是极其重要的，但在有限的计算资源下，找到最优的超参数组合又是不大可能实现的事。</w:t>
      </w:r>
      <w:proofErr w:type="gramStart"/>
      <w:r>
        <w:t>（</w:t>
      </w:r>
      <w:r>
        <w:t>“</w:t>
      </w:r>
      <w:proofErr w:type="spellStart"/>
      <w:proofErr w:type="gramEnd"/>
      <w:r>
        <w:t>Claesen</w:t>
      </w:r>
      <w:proofErr w:type="spellEnd"/>
      <w:r>
        <w:t xml:space="preserve">, Marc, and Bart De Moor.”Hyperparameter Search in Machine Learning." arXiv preprint arXiv:1502.02127 (2015)". arXiv:1502.02127. </w:t>
      </w:r>
      <w:r>
        <w:rPr>
          <w:lang w:eastAsia="zh-CN"/>
        </w:rPr>
        <w:t>Bibcode:2015arXiv150202127C.</w:t>
      </w:r>
      <w:r>
        <w:rPr>
          <w:lang w:eastAsia="zh-CN"/>
        </w:rPr>
        <w:t>）</w:t>
      </w:r>
    </w:p>
    <w:p w:rsidR="004A55DD" w:rsidRDefault="00FC3E01">
      <w:pPr>
        <w:pStyle w:val="a0"/>
        <w:ind w:firstLine="480"/>
        <w:rPr>
          <w:lang w:eastAsia="zh-CN"/>
        </w:rPr>
      </w:pPr>
      <w:r>
        <w:rPr>
          <w:lang w:eastAsia="zh-CN"/>
        </w:rPr>
        <w:t>目前我们采取的策略是：选择最</w:t>
      </w:r>
      <w:r>
        <w:rPr>
          <w:lang w:eastAsia="zh-CN"/>
        </w:rPr>
        <w:t>有影响力的超参数进行组合，然后在这些搭配中，找到当前资源限制下，较优的一个超参数的组合。</w:t>
      </w:r>
    </w:p>
    <w:p w:rsidR="004A55DD" w:rsidRDefault="00FC3E01">
      <w:pPr>
        <w:pStyle w:val="40"/>
        <w:rPr>
          <w:lang w:eastAsia="zh-CN"/>
        </w:rPr>
      </w:pPr>
      <w:bookmarkStart w:id="27" w:name="模型大小"/>
      <w:r>
        <w:rPr>
          <w:lang w:eastAsia="zh-CN"/>
        </w:rPr>
        <w:t xml:space="preserve">3.6.1 </w:t>
      </w:r>
      <w:r>
        <w:rPr>
          <w:lang w:eastAsia="zh-CN"/>
        </w:rPr>
        <w:t>模型大小</w:t>
      </w:r>
      <w:bookmarkEnd w:id="27"/>
    </w:p>
    <w:p w:rsidR="004A55DD" w:rsidRDefault="00FC3E01">
      <w:pPr>
        <w:pStyle w:val="FirstParagraph"/>
        <w:ind w:firstLine="480"/>
        <w:rPr>
          <w:lang w:eastAsia="zh-CN"/>
        </w:rPr>
      </w:pPr>
      <w:r>
        <w:rPr>
          <w:lang w:eastAsia="zh-CN"/>
        </w:rPr>
        <w:t>从我们</w:t>
      </w:r>
      <w:r>
        <w:rPr>
          <w:lang w:eastAsia="zh-CN"/>
        </w:rPr>
        <w:t>SNAS</w:t>
      </w:r>
      <w:r>
        <w:rPr>
          <w:lang w:eastAsia="zh-CN"/>
        </w:rPr>
        <w:t>的模型架构可见，合并层后全连接层的大小直接影响着该模型的大小。我们需要从具有</w:t>
      </w:r>
      <w:r>
        <w:rPr>
          <w:lang w:eastAsia="zh-CN"/>
        </w:rPr>
        <w:t>256</w:t>
      </w:r>
      <w:r>
        <w:rPr>
          <w:lang w:eastAsia="zh-CN"/>
        </w:rPr>
        <w:t>节点（</w:t>
      </w:r>
      <w:r>
        <w:rPr>
          <w:lang w:eastAsia="zh-CN"/>
        </w:rPr>
        <w:t>node</w:t>
      </w:r>
      <w:r>
        <w:rPr>
          <w:lang w:eastAsia="zh-CN"/>
        </w:rPr>
        <w:t>）的全连接层和具有</w:t>
      </w:r>
      <w:r>
        <w:rPr>
          <w:lang w:eastAsia="zh-CN"/>
        </w:rPr>
        <w:t>512</w:t>
      </w:r>
      <w:r>
        <w:rPr>
          <w:lang w:eastAsia="zh-CN"/>
        </w:rPr>
        <w:t>节点的全连接层中选择一个适合该生存预测任务的。</w:t>
      </w:r>
    </w:p>
    <w:p w:rsidR="004A55DD" w:rsidRDefault="00FC3E01">
      <w:pPr>
        <w:pStyle w:val="40"/>
        <w:rPr>
          <w:lang w:eastAsia="zh-CN"/>
        </w:rPr>
      </w:pPr>
      <w:bookmarkStart w:id="28" w:name="数据增强选择"/>
      <w:r>
        <w:rPr>
          <w:lang w:eastAsia="zh-CN"/>
        </w:rPr>
        <w:t>3.6.2 “</w:t>
      </w:r>
      <w:proofErr w:type="gramStart"/>
      <w:r>
        <w:rPr>
          <w:lang w:eastAsia="zh-CN"/>
        </w:rPr>
        <w:t>数据增强</w:t>
      </w:r>
      <w:r>
        <w:rPr>
          <w:lang w:eastAsia="zh-CN"/>
        </w:rPr>
        <w:t>”</w:t>
      </w:r>
      <w:r>
        <w:rPr>
          <w:lang w:eastAsia="zh-CN"/>
        </w:rPr>
        <w:t>选择</w:t>
      </w:r>
      <w:bookmarkEnd w:id="28"/>
      <w:proofErr w:type="gramEnd"/>
    </w:p>
    <w:p w:rsidR="004A55DD" w:rsidRDefault="00FC3E01">
      <w:pPr>
        <w:pStyle w:val="FirstParagraph"/>
        <w:ind w:firstLine="480"/>
        <w:rPr>
          <w:lang w:eastAsia="zh-CN"/>
        </w:rPr>
      </w:pPr>
      <w:r>
        <w:rPr>
          <w:lang w:eastAsia="zh-CN"/>
        </w:rPr>
        <w:t>我们在</w:t>
      </w:r>
      <w:proofErr w:type="spellStart"/>
      <w:r>
        <w:rPr>
          <w:lang w:eastAsia="zh-CN"/>
        </w:rPr>
        <w:t>NASNet</w:t>
      </w:r>
      <w:proofErr w:type="spellEnd"/>
      <w:r>
        <w:rPr>
          <w:lang w:eastAsia="zh-CN"/>
        </w:rPr>
        <w:t>分类器训练中提到了</w:t>
      </w:r>
      <w:r>
        <w:rPr>
          <w:lang w:eastAsia="zh-CN"/>
        </w:rPr>
        <w:t>“</w:t>
      </w:r>
      <w:r>
        <w:rPr>
          <w:lang w:eastAsia="zh-CN"/>
        </w:rPr>
        <w:t>数据增强</w:t>
      </w:r>
      <w:r>
        <w:rPr>
          <w:lang w:eastAsia="zh-CN"/>
        </w:rPr>
        <w:t>”</w:t>
      </w:r>
      <w:r>
        <w:rPr>
          <w:lang w:eastAsia="zh-CN"/>
        </w:rPr>
        <w:t>方法。该方法能以低成本解决数据不足问题，以防止过度拟合，保证模型的普遍适用性。然而，有时，对图像的随机改变可能影响其中的关键信息。比如，肿瘤</w:t>
      </w:r>
      <w:r>
        <w:rPr>
          <w:lang w:eastAsia="zh-CN"/>
        </w:rPr>
        <w:t>细胞的形态是判断其类型的依据；</w:t>
      </w:r>
      <w:r>
        <w:rPr>
          <w:lang w:eastAsia="zh-CN"/>
        </w:rPr>
        <w:t>“</w:t>
      </w:r>
      <w:proofErr w:type="gramStart"/>
      <w:r>
        <w:rPr>
          <w:lang w:eastAsia="zh-CN"/>
        </w:rPr>
        <w:t>数据增强</w:t>
      </w:r>
      <w:r>
        <w:rPr>
          <w:lang w:eastAsia="zh-CN"/>
        </w:rPr>
        <w:t>”</w:t>
      </w:r>
      <w:r>
        <w:rPr>
          <w:lang w:eastAsia="zh-CN"/>
        </w:rPr>
        <w:t>可能影响这些细胞的形态使模型不能从图像中得到准确的真实信息</w:t>
      </w:r>
      <w:proofErr w:type="gramEnd"/>
      <w:r>
        <w:rPr>
          <w:lang w:eastAsia="zh-CN"/>
        </w:rPr>
        <w:t>。于是，输入错误的数据，模型也只会输出不准确的结果。因此，在</w:t>
      </w:r>
      <w:r>
        <w:rPr>
          <w:lang w:eastAsia="zh-CN"/>
        </w:rPr>
        <w:t>SNAS</w:t>
      </w:r>
      <w:r>
        <w:rPr>
          <w:lang w:eastAsia="zh-CN"/>
        </w:rPr>
        <w:t>模型训练及测试中是否使用</w:t>
      </w:r>
      <w:r>
        <w:rPr>
          <w:lang w:eastAsia="zh-CN"/>
        </w:rPr>
        <w:t>“</w:t>
      </w:r>
      <w:r>
        <w:rPr>
          <w:lang w:eastAsia="zh-CN"/>
        </w:rPr>
        <w:t>数据增强</w:t>
      </w:r>
      <w:r>
        <w:rPr>
          <w:lang w:eastAsia="zh-CN"/>
        </w:rPr>
        <w:t>”</w:t>
      </w:r>
      <w:r>
        <w:rPr>
          <w:lang w:eastAsia="zh-CN"/>
        </w:rPr>
        <w:t>技术也是我们的超参数之一。</w:t>
      </w:r>
    </w:p>
    <w:p w:rsidR="004A55DD" w:rsidRDefault="00FC3E01">
      <w:pPr>
        <w:pStyle w:val="20"/>
      </w:pPr>
      <w:bookmarkStart w:id="29" w:name="结果"/>
      <w:r>
        <w:t xml:space="preserve">4 </w:t>
      </w:r>
      <w:proofErr w:type="spellStart"/>
      <w:r>
        <w:t>结果</w:t>
      </w:r>
      <w:bookmarkEnd w:id="29"/>
      <w:proofErr w:type="spellEnd"/>
    </w:p>
    <w:p w:rsidR="004A55DD" w:rsidRDefault="00FC3E01">
      <w:pPr>
        <w:pStyle w:val="FirstParagraph"/>
        <w:ind w:firstLine="480"/>
      </w:pPr>
      <w:r>
        <w:t>一致性指数（</w:t>
      </w:r>
      <w:r>
        <w:t>concordance index, c index</w:t>
      </w:r>
      <w:r>
        <w:t>），通过量化排名（</w:t>
      </w:r>
      <w:r>
        <w:t>ranking</w:t>
      </w:r>
      <w:r>
        <w:t>）质量评估模型能力，是生存分析中模型表现评估的标准指标。</w:t>
      </w:r>
      <w:r>
        <w:t xml:space="preserve"> (On Ranking in Survival Analysis: Bounds on the Concordanc</w:t>
      </w:r>
      <w:r>
        <w:t>e Index</w:t>
      </w:r>
      <w:r>
        <w:t>）本研究中对模型优劣的评估均以</w:t>
      </w:r>
      <w:r>
        <w:t>c index</w:t>
      </w:r>
      <w:r>
        <w:t>为准。</w:t>
      </w:r>
    </w:p>
    <w:p w:rsidR="004A55DD" w:rsidRDefault="00FC3E01">
      <w:pPr>
        <w:pStyle w:val="a0"/>
        <w:ind w:firstLine="480"/>
        <w:rPr>
          <w:lang w:eastAsia="zh-CN"/>
        </w:rPr>
      </w:pPr>
      <w:r>
        <w:rPr>
          <w:lang w:eastAsia="zh-CN"/>
        </w:rPr>
        <w:t>如果数据存在访问缺失（</w:t>
      </w:r>
      <w:r>
        <w:rPr>
          <w:lang w:eastAsia="zh-CN"/>
        </w:rPr>
        <w:t>censoring</w:t>
      </w:r>
      <w:r>
        <w:rPr>
          <w:lang w:eastAsia="zh-CN"/>
        </w:rPr>
        <w:t>），即在数据收集时间内目标事件没有发生，使用如均方误差或平均</w:t>
      </w:r>
      <w:proofErr w:type="gramStart"/>
      <w:r>
        <w:rPr>
          <w:lang w:eastAsia="zh-CN"/>
        </w:rPr>
        <w:t>绝对损失</w:t>
      </w:r>
      <w:proofErr w:type="gramEnd"/>
      <w:r>
        <w:rPr>
          <w:lang w:eastAsia="zh-CN"/>
        </w:rPr>
        <w:t>之类的损失函数是不合理的。在本研究中，许多（？）乳腺癌患者在数据收集时间内未死亡。因此，不应使用如均方误差或平均</w:t>
      </w:r>
      <w:proofErr w:type="gramStart"/>
      <w:r>
        <w:rPr>
          <w:lang w:eastAsia="zh-CN"/>
        </w:rPr>
        <w:t>绝对损失</w:t>
      </w:r>
      <w:proofErr w:type="gramEnd"/>
      <w:r>
        <w:rPr>
          <w:lang w:eastAsia="zh-CN"/>
        </w:rPr>
        <w:t>之类的损失函数。此时，应当使用一致性指数（</w:t>
      </w:r>
      <w:r>
        <w:rPr>
          <w:lang w:eastAsia="zh-CN"/>
        </w:rPr>
        <w:t>concordance index, c index</w:t>
      </w:r>
      <w:r>
        <w:rPr>
          <w:lang w:eastAsia="zh-CN"/>
        </w:rPr>
        <w:t>）。该指数评估预测时间排序的准确性，以量化排名（</w:t>
      </w:r>
      <w:r>
        <w:rPr>
          <w:lang w:eastAsia="zh-CN"/>
        </w:rPr>
        <w:t>ranking</w:t>
      </w:r>
      <w:r>
        <w:rPr>
          <w:lang w:eastAsia="zh-CN"/>
        </w:rPr>
        <w:t>）质量评估模型能力，是生存分析中评估模型表现的标准指标。它实际</w:t>
      </w:r>
      <w:r>
        <w:rPr>
          <w:lang w:eastAsia="zh-CN"/>
        </w:rPr>
        <w:t>上是另一种常见的损失函</w:t>
      </w:r>
      <w:r>
        <w:rPr>
          <w:lang w:eastAsia="zh-CN"/>
        </w:rPr>
        <w:lastRenderedPageBreak/>
        <w:t>数</w:t>
      </w:r>
      <w:r>
        <w:rPr>
          <w:lang w:eastAsia="zh-CN"/>
        </w:rPr>
        <w:t>AUC</w:t>
      </w:r>
      <w:r>
        <w:rPr>
          <w:lang w:eastAsia="zh-CN"/>
        </w:rPr>
        <w:t>（）的泛化。和</w:t>
      </w:r>
      <w:r>
        <w:rPr>
          <w:lang w:eastAsia="zh-CN"/>
        </w:rPr>
        <w:t>AUC</w:t>
      </w:r>
      <w:r>
        <w:rPr>
          <w:lang w:eastAsia="zh-CN"/>
        </w:rPr>
        <w:t>类似，</w:t>
      </w:r>
      <w:r>
        <w:rPr>
          <w:lang w:eastAsia="zh-CN"/>
        </w:rPr>
        <w:t>c index</w:t>
      </w:r>
      <w:r>
        <w:rPr>
          <w:lang w:eastAsia="zh-CN"/>
        </w:rPr>
        <w:t>的数值有如下解释：</w:t>
      </w:r>
      <w:r>
        <w:rPr>
          <w:lang w:eastAsia="zh-CN"/>
        </w:rPr>
        <w:t>0.5</w:t>
      </w:r>
      <w:r>
        <w:rPr>
          <w:lang w:eastAsia="zh-CN"/>
        </w:rPr>
        <w:t>，随机预测；</w:t>
      </w:r>
      <w:r>
        <w:rPr>
          <w:lang w:eastAsia="zh-CN"/>
        </w:rPr>
        <w:t>1.0</w:t>
      </w:r>
      <w:r>
        <w:rPr>
          <w:lang w:eastAsia="zh-CN"/>
        </w:rPr>
        <w:t>，预测与事实完全一致；</w:t>
      </w:r>
      <w:r>
        <w:rPr>
          <w:lang w:eastAsia="zh-CN"/>
        </w:rPr>
        <w:t>0.0</w:t>
      </w:r>
      <w:r>
        <w:rPr>
          <w:lang w:eastAsia="zh-CN"/>
        </w:rPr>
        <w:t>，预测与事实完全不一致（乘以</w:t>
      </w:r>
      <w:r>
        <w:rPr>
          <w:lang w:eastAsia="zh-CN"/>
        </w:rPr>
        <w:t>-1</w:t>
      </w:r>
      <w:r>
        <w:rPr>
          <w:lang w:eastAsia="zh-CN"/>
        </w:rPr>
        <w:t>即得到</w:t>
      </w:r>
      <w:r>
        <w:rPr>
          <w:lang w:eastAsia="zh-CN"/>
        </w:rPr>
        <w:t>1.0</w:t>
      </w:r>
      <w:r>
        <w:rPr>
          <w:lang w:eastAsia="zh-CN"/>
        </w:rPr>
        <w:t>的预测）。质量一般的生存模型的</w:t>
      </w:r>
      <w:r>
        <w:rPr>
          <w:lang w:eastAsia="zh-CN"/>
        </w:rPr>
        <w:t>c index</w:t>
      </w:r>
      <w:r>
        <w:rPr>
          <w:lang w:eastAsia="zh-CN"/>
        </w:rPr>
        <w:t>通常介于</w:t>
      </w:r>
      <w:r>
        <w:rPr>
          <w:lang w:eastAsia="zh-CN"/>
        </w:rPr>
        <w:t>0.55</w:t>
      </w:r>
      <w:r>
        <w:rPr>
          <w:lang w:eastAsia="zh-CN"/>
        </w:rPr>
        <w:t>到</w:t>
      </w:r>
      <w:proofErr w:type="gramStart"/>
      <w:r>
        <w:rPr>
          <w:lang w:eastAsia="zh-CN"/>
        </w:rPr>
        <w:t>0.7</w:t>
      </w:r>
      <w:r>
        <w:rPr>
          <w:lang w:eastAsia="zh-CN"/>
        </w:rPr>
        <w:t>之间。因为生存分析相关的数据中往往会包含很多噪音</w:t>
      </w:r>
      <w:proofErr w:type="gramEnd"/>
      <w:r>
        <w:rPr>
          <w:lang w:eastAsia="zh-CN"/>
        </w:rPr>
        <w:t>，所以，即使模型非常优秀，其</w:t>
      </w:r>
      <w:r>
        <w:rPr>
          <w:lang w:eastAsia="zh-CN"/>
        </w:rPr>
        <w:t>c index</w:t>
      </w:r>
      <w:r>
        <w:rPr>
          <w:lang w:eastAsia="zh-CN"/>
        </w:rPr>
        <w:t>也不会特别高。</w:t>
      </w:r>
    </w:p>
    <w:p w:rsidR="004A55DD" w:rsidRDefault="00FC3E01">
      <w:pPr>
        <w:pStyle w:val="30"/>
        <w:rPr>
          <w:lang w:eastAsia="zh-CN"/>
        </w:rPr>
      </w:pPr>
      <w:bookmarkStart w:id="30" w:name="cox-hp基础模型表现"/>
      <w:r>
        <w:rPr>
          <w:lang w:eastAsia="zh-CN"/>
        </w:rPr>
        <w:t>4.1 Cox HP</w:t>
      </w:r>
      <w:r>
        <w:rPr>
          <w:lang w:eastAsia="zh-CN"/>
        </w:rPr>
        <w:t>基础模型表现</w:t>
      </w:r>
      <w:bookmarkEnd w:id="30"/>
    </w:p>
    <w:p w:rsidR="004A55DD" w:rsidRDefault="00FC3E01">
      <w:pPr>
        <w:pStyle w:val="FirstParagraph"/>
        <w:ind w:firstLine="480"/>
        <w:rPr>
          <w:lang w:eastAsia="zh-CN"/>
        </w:rPr>
      </w:pPr>
      <w:r>
        <w:rPr>
          <w:lang w:eastAsia="zh-CN"/>
        </w:rPr>
        <w:t>五次</w:t>
      </w:r>
      <w:r>
        <w:rPr>
          <w:lang w:eastAsia="zh-CN"/>
        </w:rPr>
        <w:t>Cross Validation</w:t>
      </w:r>
      <w:r>
        <w:rPr>
          <w:lang w:eastAsia="zh-CN"/>
        </w:rPr>
        <w:t>（</w:t>
      </w:r>
      <w:r>
        <w:rPr>
          <w:lang w:eastAsia="zh-CN"/>
        </w:rPr>
        <w:t>CV</w:t>
      </w:r>
      <w:r>
        <w:rPr>
          <w:lang w:eastAsia="zh-CN"/>
        </w:rPr>
        <w:t>）的平均</w:t>
      </w:r>
      <w:r>
        <w:rPr>
          <w:lang w:eastAsia="zh-CN"/>
        </w:rPr>
        <w:t>CI</w:t>
      </w:r>
      <w:r>
        <w:rPr>
          <w:lang w:eastAsia="zh-CN"/>
        </w:rPr>
        <w:t>为</w:t>
      </w:r>
      <w:r>
        <w:rPr>
          <w:lang w:eastAsia="zh-CN"/>
        </w:rPr>
        <w:t>0.71</w:t>
      </w:r>
      <w:r>
        <w:rPr>
          <w:lang w:eastAsia="zh-CN"/>
        </w:rPr>
        <w:t>，</w:t>
      </w:r>
      <w:r>
        <w:rPr>
          <w:lang w:eastAsia="zh-CN"/>
        </w:rPr>
        <w:t xml:space="preserve"> </w:t>
      </w:r>
      <w:r>
        <w:rPr>
          <w:lang w:eastAsia="zh-CN"/>
        </w:rPr>
        <w:t>标准差为</w:t>
      </w:r>
      <w:r>
        <w:rPr>
          <w:lang w:eastAsia="zh-CN"/>
        </w:rPr>
        <w:t>0.03</w:t>
      </w:r>
      <w:r>
        <w:rPr>
          <w:lang w:eastAsia="zh-CN"/>
        </w:rPr>
        <w:t>。可见，使用人工分析图像得出数据建模</w:t>
      </w:r>
      <w:r>
        <w:rPr>
          <w:lang w:eastAsia="zh-CN"/>
        </w:rPr>
        <w:t>的预测能力中等。之后的深度学习模型若超过该预测水平，则说明该研究下使用的方法优于人工。</w:t>
      </w:r>
    </w:p>
    <w:p w:rsidR="004A55DD" w:rsidRDefault="00FC3E01">
      <w:pPr>
        <w:pStyle w:val="30"/>
      </w:pPr>
      <w:bookmarkStart w:id="31" w:name="nasnet分类器表现"/>
      <w:r>
        <w:t xml:space="preserve">4.2 </w:t>
      </w:r>
      <w:proofErr w:type="spellStart"/>
      <w:r>
        <w:t>NASNet</w:t>
      </w:r>
      <w:r>
        <w:t>分类器表现</w:t>
      </w:r>
      <w:bookmarkEnd w:id="31"/>
      <w:proofErr w:type="spellEnd"/>
    </w:p>
    <w:p w:rsidR="004A55DD" w:rsidRDefault="00FC3E01">
      <w:pPr>
        <w:pStyle w:val="CaptionedFigure"/>
      </w:pPr>
      <w:r>
        <w:rPr>
          <w:noProof/>
        </w:rPr>
        <w:drawing>
          <wp:inline distT="0" distB="0" distL="0" distR="0">
            <wp:extent cx="4927940" cy="3221879"/>
            <wp:effectExtent l="0" t="0" r="0" b="0"/>
            <wp:docPr id="3" name="Picture" descr="图1" title="clf_test_performance"/>
            <wp:cNvGraphicFramePr/>
            <a:graphic xmlns:a="http://schemas.openxmlformats.org/drawingml/2006/main">
              <a:graphicData uri="http://schemas.openxmlformats.org/drawingml/2006/picture">
                <pic:pic xmlns:pic="http://schemas.openxmlformats.org/drawingml/2006/picture">
                  <pic:nvPicPr>
                    <pic:cNvPr id="0" name="Picture" descr="D:\Project\Survival-Analysis-by-Breast-Cancer-Slides\imgs\clf_test_performance.png"/>
                    <pic:cNvPicPr>
                      <a:picLocks noChangeAspect="1" noChangeArrowheads="1"/>
                    </pic:cNvPicPr>
                  </pic:nvPicPr>
                  <pic:blipFill>
                    <a:blip r:embed="rId11"/>
                    <a:stretch>
                      <a:fillRect/>
                    </a:stretch>
                  </pic:blipFill>
                  <pic:spPr bwMode="auto">
                    <a:xfrm>
                      <a:off x="0" y="0"/>
                      <a:ext cx="4927940" cy="3221879"/>
                    </a:xfrm>
                    <a:prstGeom prst="rect">
                      <a:avLst/>
                    </a:prstGeom>
                    <a:noFill/>
                    <a:ln w="9525">
                      <a:noFill/>
                      <a:headEnd/>
                      <a:tailEnd/>
                    </a:ln>
                  </pic:spPr>
                </pic:pic>
              </a:graphicData>
            </a:graphic>
          </wp:inline>
        </w:drawing>
      </w:r>
    </w:p>
    <w:p w:rsidR="004A55DD" w:rsidRDefault="00FC3E01">
      <w:pPr>
        <w:pStyle w:val="ImageCaption"/>
        <w:rPr>
          <w:lang w:eastAsia="zh-CN"/>
        </w:rPr>
      </w:pPr>
      <w:r>
        <w:rPr>
          <w:lang w:eastAsia="zh-CN"/>
        </w:rPr>
        <w:t>图</w:t>
      </w:r>
      <w:r>
        <w:rPr>
          <w:lang w:eastAsia="zh-CN"/>
        </w:rPr>
        <w:t>1</w:t>
      </w:r>
    </w:p>
    <w:p w:rsidR="004A55DD" w:rsidRDefault="00FC3E01">
      <w:pPr>
        <w:pStyle w:val="30"/>
        <w:rPr>
          <w:lang w:eastAsia="zh-CN"/>
        </w:rPr>
      </w:pPr>
      <w:bookmarkStart w:id="32" w:name="切片区域可采集量"/>
      <w:r>
        <w:rPr>
          <w:lang w:eastAsia="zh-CN"/>
        </w:rPr>
        <w:t xml:space="preserve">4.3 </w:t>
      </w:r>
      <w:r>
        <w:rPr>
          <w:lang w:eastAsia="zh-CN"/>
        </w:rPr>
        <w:t>切片区域可采集量</w:t>
      </w:r>
      <w:bookmarkEnd w:id="32"/>
    </w:p>
    <w:p w:rsidR="004A55DD" w:rsidRDefault="00FC3E01">
      <w:pPr>
        <w:pStyle w:val="FirstParagraph"/>
        <w:ind w:firstLine="480"/>
        <w:rPr>
          <w:lang w:eastAsia="zh-CN"/>
        </w:rPr>
      </w:pPr>
      <w:r>
        <w:rPr>
          <w:lang w:eastAsia="zh-CN"/>
        </w:rPr>
        <w:t>分类器按照区域内细胞是否与其在</w:t>
      </w:r>
      <w:r>
        <w:rPr>
          <w:lang w:eastAsia="zh-CN"/>
        </w:rPr>
        <w:t>Kaggle HCD</w:t>
      </w:r>
      <w:r>
        <w:rPr>
          <w:lang w:eastAsia="zh-CN"/>
        </w:rPr>
        <w:t>数据库中学习的肿瘤细胞特征相似来进行评估，若相似，则预测值大，反之，则预测值小。预测值在</w:t>
      </w:r>
      <w:r>
        <w:rPr>
          <w:lang w:eastAsia="zh-CN"/>
        </w:rPr>
        <w:t>0~1</w:t>
      </w:r>
      <w:r>
        <w:rPr>
          <w:lang w:eastAsia="zh-CN"/>
        </w:rPr>
        <w:t>之间，因此我们需要选择一个阈值在其中，以区分肿瘤组织区域及非肿瘤组织区域。</w:t>
      </w:r>
    </w:p>
    <w:p w:rsidR="004A55DD" w:rsidRDefault="00FC3E01">
      <w:pPr>
        <w:pStyle w:val="a0"/>
        <w:ind w:firstLine="480"/>
        <w:rPr>
          <w:lang w:eastAsia="zh-CN"/>
        </w:rPr>
      </w:pPr>
      <w:r>
        <w:rPr>
          <w:lang w:eastAsia="zh-CN"/>
        </w:rPr>
        <w:t>如图所示，</w:t>
      </w:r>
      <w:proofErr w:type="spellStart"/>
      <w:r>
        <w:rPr>
          <w:lang w:eastAsia="zh-CN"/>
        </w:rPr>
        <w:t>NASNet</w:t>
      </w:r>
      <w:proofErr w:type="spellEnd"/>
      <w:r>
        <w:rPr>
          <w:lang w:eastAsia="zh-CN"/>
        </w:rPr>
        <w:t>分类器的分类结果数量分布呈</w:t>
      </w:r>
      <w:proofErr w:type="gramStart"/>
      <w:r>
        <w:rPr>
          <w:lang w:eastAsia="zh-CN"/>
        </w:rPr>
        <w:t>幂</w:t>
      </w:r>
      <w:proofErr w:type="gramEnd"/>
      <w:r>
        <w:rPr>
          <w:lang w:eastAsia="zh-CN"/>
        </w:rPr>
        <w:t>分布（</w:t>
      </w:r>
      <w:r>
        <w:rPr>
          <w:lang w:eastAsia="zh-CN"/>
        </w:rPr>
        <w:t>power distribution</w:t>
      </w:r>
      <w:r>
        <w:rPr>
          <w:lang w:eastAsia="zh-CN"/>
        </w:rPr>
        <w:t>），即大量的样本的被选区域数量在？？以下的。</w:t>
      </w:r>
      <w:r>
        <w:rPr>
          <w:lang w:eastAsia="zh-CN"/>
        </w:rPr>
        <w:t>同时，分类器阈值设置的高低（从</w:t>
      </w:r>
      <w:r>
        <w:rPr>
          <w:lang w:eastAsia="zh-CN"/>
        </w:rPr>
        <w:t>0.95</w:t>
      </w:r>
      <w:r>
        <w:rPr>
          <w:lang w:eastAsia="zh-CN"/>
        </w:rPr>
        <w:t>到趋于</w:t>
      </w:r>
      <w:proofErr w:type="gramStart"/>
      <w:r>
        <w:rPr>
          <w:lang w:eastAsia="zh-CN"/>
        </w:rPr>
        <w:t>于</w:t>
      </w:r>
      <w:proofErr w:type="gramEnd"/>
      <w:r>
        <w:rPr>
          <w:lang w:eastAsia="zh-CN"/>
        </w:rPr>
        <w:t>1</w:t>
      </w:r>
      <w:r>
        <w:rPr>
          <w:lang w:eastAsia="zh-CN"/>
        </w:rPr>
        <w:t>）对其中的最小值没有影响，只对最大值影响。因</w:t>
      </w:r>
      <w:r>
        <w:rPr>
          <w:lang w:eastAsia="zh-CN"/>
        </w:rPr>
        <w:lastRenderedPageBreak/>
        <w:t>此，对阈值的设定只能调节样本被选区域量的上限，而不能调节被选区域量的下限。</w:t>
      </w:r>
    </w:p>
    <w:p w:rsidR="004A55DD" w:rsidRDefault="00FC3E01">
      <w:pPr>
        <w:pStyle w:val="a0"/>
        <w:ind w:firstLine="480"/>
        <w:rPr>
          <w:lang w:eastAsia="zh-CN"/>
        </w:rPr>
      </w:pPr>
      <w:r>
        <w:rPr>
          <w:lang w:eastAsia="zh-CN"/>
        </w:rPr>
        <w:t>从图中容易发现，在</w:t>
      </w:r>
      <w:r>
        <w:rPr>
          <w:lang w:eastAsia="zh-CN"/>
        </w:rPr>
        <w:t>0.95~0.99</w:t>
      </w:r>
      <w:r>
        <w:rPr>
          <w:lang w:eastAsia="zh-CN"/>
        </w:rPr>
        <w:t>之间，被选区域数量最大值的下降比较平缓，</w:t>
      </w:r>
      <w:r>
        <w:rPr>
          <w:lang w:eastAsia="zh-CN"/>
        </w:rPr>
        <w:t>0.99</w:t>
      </w:r>
      <w:r>
        <w:rPr>
          <w:lang w:eastAsia="zh-CN"/>
        </w:rPr>
        <w:t>至</w:t>
      </w:r>
      <w:r>
        <w:rPr>
          <w:lang w:eastAsia="zh-CN"/>
        </w:rPr>
        <w:t>1</w:t>
      </w:r>
      <w:r>
        <w:rPr>
          <w:lang w:eastAsia="zh-CN"/>
        </w:rPr>
        <w:t>（趋近于</w:t>
      </w:r>
      <w:r>
        <w:rPr>
          <w:lang w:eastAsia="zh-CN"/>
        </w:rPr>
        <w:t>1</w:t>
      </w:r>
      <w:r>
        <w:rPr>
          <w:lang w:eastAsia="zh-CN"/>
        </w:rPr>
        <w:t>）被选区域数量最大</w:t>
      </w:r>
      <w:proofErr w:type="gramStart"/>
      <w:r>
        <w:rPr>
          <w:lang w:eastAsia="zh-CN"/>
        </w:rPr>
        <w:t>值很快</w:t>
      </w:r>
      <w:proofErr w:type="gramEnd"/>
      <w:r>
        <w:rPr>
          <w:lang w:eastAsia="zh-CN"/>
        </w:rPr>
        <w:t>下降。可见，</w:t>
      </w:r>
      <w:r>
        <w:rPr>
          <w:lang w:eastAsia="zh-CN"/>
        </w:rPr>
        <w:t>0.99</w:t>
      </w:r>
      <w:r>
        <w:rPr>
          <w:lang w:eastAsia="zh-CN"/>
        </w:rPr>
        <w:t>是最大值变化于</w:t>
      </w:r>
      <w:r>
        <w:rPr>
          <w:lang w:eastAsia="zh-CN"/>
        </w:rPr>
        <w:t>0.95</w:t>
      </w:r>
      <w:r>
        <w:rPr>
          <w:lang w:eastAsia="zh-CN"/>
        </w:rPr>
        <w:t>到</w:t>
      </w:r>
      <w:r>
        <w:rPr>
          <w:lang w:eastAsia="zh-CN"/>
        </w:rPr>
        <w:t>1</w:t>
      </w:r>
      <w:r>
        <w:rPr>
          <w:lang w:eastAsia="zh-CN"/>
        </w:rPr>
        <w:t>区间的拐点所在。因此，我们选择</w:t>
      </w:r>
      <w:r>
        <w:rPr>
          <w:lang w:eastAsia="zh-CN"/>
        </w:rPr>
        <w:t>0.99</w:t>
      </w:r>
      <w:r>
        <w:rPr>
          <w:lang w:eastAsia="zh-CN"/>
        </w:rPr>
        <w:t>作为基础的阈值。分类器预测值在</w:t>
      </w:r>
      <w:r>
        <w:rPr>
          <w:lang w:eastAsia="zh-CN"/>
        </w:rPr>
        <w:t>0.99</w:t>
      </w:r>
      <w:r>
        <w:rPr>
          <w:lang w:eastAsia="zh-CN"/>
        </w:rPr>
        <w:t>以上的区域将被纳入被选区域，以进行之后的训练和测试，在</w:t>
      </w:r>
      <w:r>
        <w:rPr>
          <w:lang w:eastAsia="zh-CN"/>
        </w:rPr>
        <w:t>0.99</w:t>
      </w:r>
      <w:r>
        <w:rPr>
          <w:lang w:eastAsia="zh-CN"/>
        </w:rPr>
        <w:t>以下的区域则暂时不选取。</w:t>
      </w:r>
    </w:p>
    <w:p w:rsidR="004A55DD" w:rsidRDefault="00FC3E01">
      <w:pPr>
        <w:pStyle w:val="a0"/>
        <w:ind w:firstLine="480"/>
        <w:rPr>
          <w:lang w:eastAsia="zh-CN"/>
        </w:rPr>
      </w:pPr>
      <w:r>
        <w:rPr>
          <w:lang w:eastAsia="zh-CN"/>
        </w:rPr>
        <w:t>然而，我们认</w:t>
      </w:r>
      <w:r>
        <w:rPr>
          <w:lang w:eastAsia="zh-CN"/>
        </w:rPr>
        <w:t>为</w:t>
      </w:r>
      <w:r>
        <w:rPr>
          <w:lang w:eastAsia="zh-CN"/>
        </w:rPr>
        <w:t>“</w:t>
      </w:r>
      <w:r>
        <w:rPr>
          <w:lang w:eastAsia="zh-CN"/>
        </w:rPr>
        <w:t>肿瘤细胞特征不明显的区域多</w:t>
      </w:r>
      <w:r>
        <w:rPr>
          <w:lang w:eastAsia="zh-CN"/>
        </w:rPr>
        <w:t>”</w:t>
      </w:r>
      <w:r>
        <w:rPr>
          <w:lang w:eastAsia="zh-CN"/>
        </w:rPr>
        <w:t>这一导致样本被选区域量很少的特点很有可能和样本的生存预后有关。某区域内的肿瘤细胞特征不明显说明该区域细胞分化良好。在细胞层面，病理学家会按细胞的分化程度来评估癌症的预后。因此，如果我们对那些选择区域少的样本只按研究设定的</w:t>
      </w:r>
      <w:r>
        <w:rPr>
          <w:lang w:eastAsia="zh-CN"/>
        </w:rPr>
        <w:t>0.99</w:t>
      </w:r>
      <w:r>
        <w:rPr>
          <w:lang w:eastAsia="zh-CN"/>
        </w:rPr>
        <w:t>以上来选取区域，它们将只有一个区域被选取，其很多区域细胞分化良好这一特征将丢失。我们希望能把</w:t>
      </w:r>
      <w:r>
        <w:rPr>
          <w:lang w:eastAsia="zh-CN"/>
        </w:rPr>
        <w:t>“</w:t>
      </w:r>
      <w:r>
        <w:rPr>
          <w:lang w:eastAsia="zh-CN"/>
        </w:rPr>
        <w:t>多区域分化良好</w:t>
      </w:r>
      <w:r>
        <w:rPr>
          <w:lang w:eastAsia="zh-CN"/>
        </w:rPr>
        <w:t>”</w:t>
      </w:r>
      <w:r>
        <w:rPr>
          <w:lang w:eastAsia="zh-CN"/>
        </w:rPr>
        <w:t>这一特征保留。于是，我们对那些选择区域少的样本相应地降低阈值，使它们各自均能有</w:t>
      </w:r>
      <w:r>
        <w:rPr>
          <w:lang w:eastAsia="zh-CN"/>
        </w:rPr>
        <w:t>50</w:t>
      </w:r>
      <w:r>
        <w:rPr>
          <w:lang w:eastAsia="zh-CN"/>
        </w:rPr>
        <w:t>个区域被选中。</w:t>
      </w:r>
    </w:p>
    <w:p w:rsidR="004A55DD" w:rsidRDefault="00FC3E01">
      <w:pPr>
        <w:pStyle w:val="a0"/>
        <w:ind w:firstLine="480"/>
        <w:rPr>
          <w:lang w:eastAsia="zh-CN"/>
        </w:rPr>
      </w:pPr>
      <w:r>
        <w:rPr>
          <w:lang w:eastAsia="zh-CN"/>
        </w:rPr>
        <w:t>最后的样本区域选取情况如下表。</w:t>
      </w:r>
    </w:p>
    <w:tbl>
      <w:tblPr>
        <w:tblStyle w:val="Table"/>
        <w:tblW w:w="0" w:type="auto"/>
        <w:jc w:val="center"/>
        <w:tblLook w:val="07E0" w:firstRow="1" w:lastRow="1" w:firstColumn="1" w:lastColumn="1" w:noHBand="1" w:noVBand="1"/>
      </w:tblPr>
      <w:tblGrid>
        <w:gridCol w:w="1416"/>
        <w:gridCol w:w="1598"/>
        <w:gridCol w:w="1543"/>
      </w:tblGrid>
      <w:tr w:rsidR="004A55DD" w:rsidTr="0002229C">
        <w:trPr>
          <w:jc w:val="center"/>
        </w:trPr>
        <w:tc>
          <w:tcPr>
            <w:tcW w:w="0" w:type="auto"/>
            <w:tcBorders>
              <w:bottom w:val="single" w:sz="0" w:space="0" w:color="auto"/>
            </w:tcBorders>
            <w:vAlign w:val="bottom"/>
          </w:tcPr>
          <w:p w:rsidR="004A55DD" w:rsidRDefault="004A55DD">
            <w:pPr>
              <w:pStyle w:val="Compact"/>
              <w:ind w:firstLine="480"/>
              <w:rPr>
                <w:lang w:eastAsia="zh-CN"/>
              </w:rPr>
            </w:pPr>
          </w:p>
        </w:tc>
        <w:tc>
          <w:tcPr>
            <w:tcW w:w="0" w:type="auto"/>
            <w:tcBorders>
              <w:bottom w:val="single" w:sz="0" w:space="0" w:color="auto"/>
            </w:tcBorders>
            <w:vAlign w:val="bottom"/>
          </w:tcPr>
          <w:p w:rsidR="004A55DD" w:rsidRDefault="00FC3E01">
            <w:pPr>
              <w:pStyle w:val="Compact"/>
              <w:ind w:firstLine="480"/>
              <w:jc w:val="right"/>
            </w:pPr>
            <w:proofErr w:type="spellStart"/>
            <w:r>
              <w:t>数量</w:t>
            </w:r>
            <w:proofErr w:type="spellEnd"/>
          </w:p>
        </w:tc>
        <w:tc>
          <w:tcPr>
            <w:tcW w:w="0" w:type="auto"/>
            <w:tcBorders>
              <w:bottom w:val="single" w:sz="0" w:space="0" w:color="auto"/>
            </w:tcBorders>
            <w:vAlign w:val="bottom"/>
          </w:tcPr>
          <w:p w:rsidR="004A55DD" w:rsidRDefault="00FC3E01">
            <w:pPr>
              <w:pStyle w:val="Compact"/>
              <w:ind w:firstLine="480"/>
              <w:jc w:val="right"/>
            </w:pPr>
            <w:r>
              <w:t>比例</w:t>
            </w:r>
          </w:p>
        </w:tc>
      </w:tr>
      <w:tr w:rsidR="004A55DD" w:rsidTr="0002229C">
        <w:trPr>
          <w:jc w:val="center"/>
        </w:trPr>
        <w:tc>
          <w:tcPr>
            <w:tcW w:w="0" w:type="auto"/>
          </w:tcPr>
          <w:p w:rsidR="004A55DD" w:rsidRDefault="00FC3E01">
            <w:pPr>
              <w:pStyle w:val="Compact"/>
              <w:ind w:firstLine="480"/>
            </w:pPr>
            <w:r>
              <w:t>均值</w:t>
            </w:r>
          </w:p>
        </w:tc>
        <w:tc>
          <w:tcPr>
            <w:tcW w:w="0" w:type="auto"/>
          </w:tcPr>
          <w:p w:rsidR="004A55DD" w:rsidRDefault="00FC3E01">
            <w:pPr>
              <w:pStyle w:val="Compact"/>
              <w:ind w:firstLine="480"/>
              <w:jc w:val="right"/>
            </w:pPr>
            <w:r>
              <w:t>2.98e+03</w:t>
            </w:r>
          </w:p>
        </w:tc>
        <w:tc>
          <w:tcPr>
            <w:tcW w:w="0" w:type="auto"/>
          </w:tcPr>
          <w:p w:rsidR="004A55DD" w:rsidRDefault="00FC3E01">
            <w:pPr>
              <w:pStyle w:val="Compact"/>
              <w:ind w:firstLine="480"/>
              <w:jc w:val="right"/>
            </w:pPr>
            <w:r>
              <w:t>5.73e-02</w:t>
            </w:r>
          </w:p>
        </w:tc>
      </w:tr>
      <w:tr w:rsidR="004A55DD" w:rsidTr="0002229C">
        <w:trPr>
          <w:jc w:val="center"/>
        </w:trPr>
        <w:tc>
          <w:tcPr>
            <w:tcW w:w="0" w:type="auto"/>
          </w:tcPr>
          <w:p w:rsidR="004A55DD" w:rsidRDefault="00FC3E01">
            <w:pPr>
              <w:pStyle w:val="Compact"/>
              <w:ind w:firstLine="480"/>
            </w:pPr>
            <w:r>
              <w:t>标准差</w:t>
            </w:r>
          </w:p>
        </w:tc>
        <w:tc>
          <w:tcPr>
            <w:tcW w:w="0" w:type="auto"/>
          </w:tcPr>
          <w:p w:rsidR="004A55DD" w:rsidRDefault="00FC3E01">
            <w:pPr>
              <w:pStyle w:val="Compact"/>
              <w:ind w:firstLine="480"/>
              <w:jc w:val="right"/>
            </w:pPr>
            <w:r>
              <w:t>3.38e+03</w:t>
            </w:r>
          </w:p>
        </w:tc>
        <w:tc>
          <w:tcPr>
            <w:tcW w:w="0" w:type="auto"/>
          </w:tcPr>
          <w:p w:rsidR="004A55DD" w:rsidRDefault="00FC3E01">
            <w:pPr>
              <w:pStyle w:val="Compact"/>
              <w:ind w:firstLine="480"/>
              <w:jc w:val="right"/>
            </w:pPr>
            <w:r>
              <w:t>6.17e-02</w:t>
            </w:r>
          </w:p>
        </w:tc>
      </w:tr>
      <w:tr w:rsidR="004A55DD" w:rsidTr="0002229C">
        <w:trPr>
          <w:jc w:val="center"/>
        </w:trPr>
        <w:tc>
          <w:tcPr>
            <w:tcW w:w="0" w:type="auto"/>
          </w:tcPr>
          <w:p w:rsidR="004A55DD" w:rsidRDefault="00FC3E01">
            <w:pPr>
              <w:pStyle w:val="Compact"/>
              <w:ind w:firstLine="480"/>
            </w:pPr>
            <w:r>
              <w:t>最小值</w:t>
            </w:r>
          </w:p>
        </w:tc>
        <w:tc>
          <w:tcPr>
            <w:tcW w:w="0" w:type="auto"/>
          </w:tcPr>
          <w:p w:rsidR="004A55DD" w:rsidRDefault="00FC3E01">
            <w:pPr>
              <w:pStyle w:val="Compact"/>
              <w:ind w:firstLine="480"/>
              <w:jc w:val="right"/>
            </w:pPr>
            <w:r>
              <w:t>5.00e+01</w:t>
            </w:r>
          </w:p>
        </w:tc>
        <w:tc>
          <w:tcPr>
            <w:tcW w:w="0" w:type="auto"/>
          </w:tcPr>
          <w:p w:rsidR="004A55DD" w:rsidRDefault="00FC3E01">
            <w:pPr>
              <w:pStyle w:val="Compact"/>
              <w:ind w:firstLine="480"/>
              <w:jc w:val="right"/>
            </w:pPr>
            <w:r>
              <w:t>2.58e-04</w:t>
            </w:r>
          </w:p>
        </w:tc>
      </w:tr>
      <w:tr w:rsidR="004A55DD" w:rsidTr="0002229C">
        <w:trPr>
          <w:jc w:val="center"/>
        </w:trPr>
        <w:tc>
          <w:tcPr>
            <w:tcW w:w="0" w:type="auto"/>
          </w:tcPr>
          <w:p w:rsidR="004A55DD" w:rsidRDefault="00FC3E01">
            <w:pPr>
              <w:pStyle w:val="Compact"/>
              <w:ind w:firstLine="480"/>
            </w:pPr>
            <w:r>
              <w:t>最大值</w:t>
            </w:r>
          </w:p>
        </w:tc>
        <w:tc>
          <w:tcPr>
            <w:tcW w:w="0" w:type="auto"/>
          </w:tcPr>
          <w:p w:rsidR="004A55DD" w:rsidRDefault="00FC3E01">
            <w:pPr>
              <w:pStyle w:val="Compact"/>
              <w:ind w:firstLine="480"/>
              <w:jc w:val="right"/>
            </w:pPr>
            <w:r>
              <w:t>2.80e+04</w:t>
            </w:r>
          </w:p>
        </w:tc>
        <w:tc>
          <w:tcPr>
            <w:tcW w:w="0" w:type="auto"/>
          </w:tcPr>
          <w:p w:rsidR="004A55DD" w:rsidRDefault="00FC3E01">
            <w:pPr>
              <w:pStyle w:val="Compact"/>
              <w:ind w:firstLine="480"/>
              <w:jc w:val="right"/>
            </w:pPr>
            <w:r>
              <w:t>5.60e-01</w:t>
            </w:r>
          </w:p>
        </w:tc>
      </w:tr>
    </w:tbl>
    <w:p w:rsidR="004A55DD" w:rsidRDefault="00FC3E01">
      <w:pPr>
        <w:pStyle w:val="a0"/>
        <w:ind w:firstLine="480"/>
      </w:pPr>
      <w:r>
        <w:rPr>
          <w:noProof/>
        </w:rPr>
        <w:lastRenderedPageBreak/>
        <w:drawing>
          <wp:inline distT="0" distB="0" distL="0" distR="0">
            <wp:extent cx="5334000" cy="3434303"/>
            <wp:effectExtent l="0" t="0" r="0" b="0"/>
            <wp:docPr id="4" name="Picture" descr="图1" title="clf_test_performance"/>
            <wp:cNvGraphicFramePr/>
            <a:graphic xmlns:a="http://schemas.openxmlformats.org/drawingml/2006/main">
              <a:graphicData uri="http://schemas.openxmlformats.org/drawingml/2006/picture">
                <pic:pic xmlns:pic="http://schemas.openxmlformats.org/drawingml/2006/picture">
                  <pic:nvPicPr>
                    <pic:cNvPr id="0" name="Picture" descr="D:\Project\Survival-Analysis-by-Breast-Cancer-Slides\imgs\dis_plot_c.png"/>
                    <pic:cNvPicPr>
                      <a:picLocks noChangeAspect="1" noChangeArrowheads="1"/>
                    </pic:cNvPicPr>
                  </pic:nvPicPr>
                  <pic:blipFill>
                    <a:blip r:embed="rId12"/>
                    <a:stretch>
                      <a:fillRect/>
                    </a:stretch>
                  </pic:blipFill>
                  <pic:spPr bwMode="auto">
                    <a:xfrm>
                      <a:off x="0" y="0"/>
                      <a:ext cx="5334000" cy="3434303"/>
                    </a:xfrm>
                    <a:prstGeom prst="rect">
                      <a:avLst/>
                    </a:prstGeom>
                    <a:noFill/>
                    <a:ln w="9525">
                      <a:noFill/>
                      <a:headEnd/>
                      <a:tailEnd/>
                    </a:ln>
                  </pic:spPr>
                </pic:pic>
              </a:graphicData>
            </a:graphic>
          </wp:inline>
        </w:drawing>
      </w:r>
      <w:r>
        <w:t xml:space="preserve"> </w:t>
      </w:r>
      <w:r>
        <w:rPr>
          <w:noProof/>
        </w:rPr>
        <w:drawing>
          <wp:inline distT="0" distB="0" distL="0" distR="0">
            <wp:extent cx="5334000" cy="3556000"/>
            <wp:effectExtent l="0" t="0" r="0" b="0"/>
            <wp:docPr id="5" name="Picture" descr="图1" title="clf_test_performance"/>
            <wp:cNvGraphicFramePr/>
            <a:graphic xmlns:a="http://schemas.openxmlformats.org/drawingml/2006/main">
              <a:graphicData uri="http://schemas.openxmlformats.org/drawingml/2006/picture">
                <pic:pic xmlns:pic="http://schemas.openxmlformats.org/drawingml/2006/picture">
                  <pic:nvPicPr>
                    <pic:cNvPr id="0" name="Picture" descr="D:\Project\Survival-Analysis-by-Breast-Cancer-Slides\imgs\pop_plot_c.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rsidR="004A55DD" w:rsidRDefault="00FC3E01">
      <w:pPr>
        <w:pStyle w:val="30"/>
      </w:pPr>
      <w:bookmarkStart w:id="33" w:name="snas超参数优化"/>
      <w:r>
        <w:lastRenderedPageBreak/>
        <w:t>4.4 SNAS</w:t>
      </w:r>
      <w:r>
        <w:t>超参数优化</w:t>
      </w:r>
      <w:bookmarkEnd w:id="33"/>
    </w:p>
    <w:p w:rsidR="004A55DD" w:rsidRDefault="00FC3E01">
      <w:pPr>
        <w:pStyle w:val="FirstParagraph"/>
        <w:ind w:firstLine="480"/>
      </w:pPr>
      <w:r>
        <w:rPr>
          <w:noProof/>
        </w:rPr>
        <w:drawing>
          <wp:inline distT="0" distB="0" distL="0" distR="0">
            <wp:extent cx="5334000" cy="2385830"/>
            <wp:effectExtent l="0" t="0" r="0" b="0"/>
            <wp:docPr id="6" name="Picture" descr="图2" title="clf_test_performance"/>
            <wp:cNvGraphicFramePr/>
            <a:graphic xmlns:a="http://schemas.openxmlformats.org/drawingml/2006/main">
              <a:graphicData uri="http://schemas.openxmlformats.org/drawingml/2006/picture">
                <pic:pic xmlns:pic="http://schemas.openxmlformats.org/drawingml/2006/picture">
                  <pic:nvPicPr>
                    <pic:cNvPr id="0" name="Picture" descr="D:\Project\Survival-Analysis-by-Breast-Cancer-Slides\imgs\s_para.png"/>
                    <pic:cNvPicPr>
                      <a:picLocks noChangeAspect="1" noChangeArrowheads="1"/>
                    </pic:cNvPicPr>
                  </pic:nvPicPr>
                  <pic:blipFill>
                    <a:blip r:embed="rId14"/>
                    <a:stretch>
                      <a:fillRect/>
                    </a:stretch>
                  </pic:blipFill>
                  <pic:spPr bwMode="auto">
                    <a:xfrm>
                      <a:off x="0" y="0"/>
                      <a:ext cx="5334000" cy="2385830"/>
                    </a:xfrm>
                    <a:prstGeom prst="rect">
                      <a:avLst/>
                    </a:prstGeom>
                    <a:noFill/>
                    <a:ln w="9525">
                      <a:noFill/>
                      <a:headEnd/>
                      <a:tailEnd/>
                    </a:ln>
                  </pic:spPr>
                </pic:pic>
              </a:graphicData>
            </a:graphic>
          </wp:inline>
        </w:drawing>
      </w:r>
      <w:r>
        <w:t xml:space="preserve"> </w:t>
      </w:r>
      <w:r>
        <w:rPr>
          <w:noProof/>
        </w:rPr>
        <w:drawing>
          <wp:inline distT="0" distB="0" distL="0" distR="0">
            <wp:extent cx="5042961" cy="3412944"/>
            <wp:effectExtent l="0" t="0" r="0" b="0"/>
            <wp:docPr id="7" name="Picture" descr="图3" title="clf_test_performance"/>
            <wp:cNvGraphicFramePr/>
            <a:graphic xmlns:a="http://schemas.openxmlformats.org/drawingml/2006/main">
              <a:graphicData uri="http://schemas.openxmlformats.org/drawingml/2006/picture">
                <pic:pic xmlns:pic="http://schemas.openxmlformats.org/drawingml/2006/picture">
                  <pic:nvPicPr>
                    <pic:cNvPr id="0" name="Picture" descr="D:\Project\Survival-Analysis-by-Breast-Cancer-Slides\imgs\sci_para.png"/>
                    <pic:cNvPicPr>
                      <a:picLocks noChangeAspect="1" noChangeArrowheads="1"/>
                    </pic:cNvPicPr>
                  </pic:nvPicPr>
                  <pic:blipFill>
                    <a:blip r:embed="rId15"/>
                    <a:stretch>
                      <a:fillRect/>
                    </a:stretch>
                  </pic:blipFill>
                  <pic:spPr bwMode="auto">
                    <a:xfrm>
                      <a:off x="0" y="0"/>
                      <a:ext cx="5042961" cy="3412944"/>
                    </a:xfrm>
                    <a:prstGeom prst="rect">
                      <a:avLst/>
                    </a:prstGeom>
                    <a:noFill/>
                    <a:ln w="9525">
                      <a:noFill/>
                      <a:headEnd/>
                      <a:tailEnd/>
                    </a:ln>
                  </pic:spPr>
                </pic:pic>
              </a:graphicData>
            </a:graphic>
          </wp:inline>
        </w:drawing>
      </w:r>
    </w:p>
    <w:p w:rsidR="004A55DD" w:rsidRDefault="00FC3E01">
      <w:pPr>
        <w:pStyle w:val="a0"/>
        <w:ind w:firstLine="480"/>
        <w:rPr>
          <w:lang w:eastAsia="zh-CN"/>
        </w:rPr>
      </w:pPr>
      <w:r>
        <w:rPr>
          <w:lang w:eastAsia="zh-CN"/>
        </w:rPr>
        <w:t>如图</w:t>
      </w:r>
      <w:r>
        <w:rPr>
          <w:lang w:eastAsia="zh-CN"/>
        </w:rPr>
        <w:t>2</w:t>
      </w:r>
      <w:r>
        <w:rPr>
          <w:lang w:eastAsia="zh-CN"/>
        </w:rPr>
        <w:t>所示，在模型对测试集、训练集中案例的预测中，不使用数据增强的表现都显著地优于使用数据增强的表现，无论其是大模型还是正常模型。原因之一可能是对图像的随机改变影响了图中的关键信息。如</w:t>
      </w:r>
      <w:r>
        <w:rPr>
          <w:lang w:eastAsia="zh-CN"/>
        </w:rPr>
        <w:t>“</w:t>
      </w:r>
      <w:r>
        <w:rPr>
          <w:lang w:eastAsia="zh-CN"/>
        </w:rPr>
        <w:t>数据增强</w:t>
      </w:r>
      <w:r>
        <w:rPr>
          <w:lang w:eastAsia="zh-CN"/>
        </w:rPr>
        <w:t>”</w:t>
      </w:r>
      <w:r>
        <w:rPr>
          <w:lang w:eastAsia="zh-CN"/>
        </w:rPr>
        <w:t>中的</w:t>
      </w:r>
      <w:r>
        <w:rPr>
          <w:lang w:eastAsia="zh-CN"/>
        </w:rPr>
        <w:t>“</w:t>
      </w:r>
      <w:r>
        <w:rPr>
          <w:lang w:eastAsia="zh-CN"/>
        </w:rPr>
        <w:t>扭曲</w:t>
      </w:r>
      <w:r>
        <w:rPr>
          <w:lang w:eastAsia="zh-CN"/>
        </w:rPr>
        <w:t>”</w:t>
      </w:r>
      <w:r>
        <w:rPr>
          <w:lang w:eastAsia="zh-CN"/>
        </w:rPr>
        <w:t>、</w:t>
      </w:r>
      <w:r>
        <w:rPr>
          <w:lang w:eastAsia="zh-CN"/>
        </w:rPr>
        <w:t>“</w:t>
      </w:r>
      <w:r>
        <w:rPr>
          <w:lang w:eastAsia="zh-CN"/>
        </w:rPr>
        <w:t>颜色改变</w:t>
      </w:r>
      <w:r>
        <w:rPr>
          <w:lang w:eastAsia="zh-CN"/>
        </w:rPr>
        <w:t>”</w:t>
      </w:r>
      <w:r>
        <w:rPr>
          <w:lang w:eastAsia="zh-CN"/>
        </w:rPr>
        <w:t>等可能影响这些细胞的外观形态使模型从图像中得到的信息并不是真实准确的。于是，基于不准确的信息，模型产生了不准确的预测。因此，在本模型的训练及测试中，与一般的深度学习不同，应当不使用</w:t>
      </w:r>
      <w:r>
        <w:rPr>
          <w:lang w:eastAsia="zh-CN"/>
        </w:rPr>
        <w:t>“</w:t>
      </w:r>
      <w:r>
        <w:rPr>
          <w:lang w:eastAsia="zh-CN"/>
        </w:rPr>
        <w:t>数据增强</w:t>
      </w:r>
      <w:r>
        <w:rPr>
          <w:lang w:eastAsia="zh-CN"/>
        </w:rPr>
        <w:t>”</w:t>
      </w:r>
      <w:r>
        <w:rPr>
          <w:lang w:eastAsia="zh-CN"/>
        </w:rPr>
        <w:t>技术。</w:t>
      </w:r>
    </w:p>
    <w:p w:rsidR="004A55DD" w:rsidRDefault="00FC3E01">
      <w:pPr>
        <w:pStyle w:val="a0"/>
        <w:ind w:firstLine="480"/>
        <w:rPr>
          <w:lang w:eastAsia="zh-CN"/>
        </w:rPr>
      </w:pPr>
      <w:r>
        <w:rPr>
          <w:lang w:eastAsia="zh-CN"/>
        </w:rPr>
        <w:t>如图</w:t>
      </w:r>
      <w:r>
        <w:rPr>
          <w:lang w:eastAsia="zh-CN"/>
        </w:rPr>
        <w:t>B</w:t>
      </w:r>
      <w:r>
        <w:rPr>
          <w:lang w:eastAsia="zh-CN"/>
        </w:rPr>
        <w:t>所示，对测试集而言，使用的模型大小对表现没有显著性影响，即无论随机丢弃层后的全连接层</w:t>
      </w:r>
      <w:r>
        <w:rPr>
          <w:lang w:eastAsia="zh-CN"/>
        </w:rPr>
        <w:t>有</w:t>
      </w:r>
      <w:r>
        <w:rPr>
          <w:lang w:eastAsia="zh-CN"/>
        </w:rPr>
        <w:t>256</w:t>
      </w:r>
      <w:r>
        <w:rPr>
          <w:lang w:eastAsia="zh-CN"/>
        </w:rPr>
        <w:t>个节点还是</w:t>
      </w:r>
      <w:r>
        <w:rPr>
          <w:lang w:eastAsia="zh-CN"/>
        </w:rPr>
        <w:t>512</w:t>
      </w:r>
      <w:r>
        <w:rPr>
          <w:lang w:eastAsia="zh-CN"/>
        </w:rPr>
        <w:t>个节点，其预测相似。就训练集而言，大模型的表现显著性优于小模型的。显而易见地，大模型比小模型多了</w:t>
      </w:r>
      <w:r>
        <w:rPr>
          <w:lang w:eastAsia="zh-CN"/>
        </w:rPr>
        <w:lastRenderedPageBreak/>
        <w:t>2.97e+07</w:t>
      </w:r>
      <w:r>
        <w:rPr>
          <w:lang w:eastAsia="zh-CN"/>
        </w:rPr>
        <w:t>个可训练参数，因此有更强的能力拟合训练集。然而，当我们将训练次数增加，此处为</w:t>
      </w:r>
      <w:r>
        <w:rPr>
          <w:lang w:eastAsia="zh-CN"/>
        </w:rPr>
        <w:t>400</w:t>
      </w:r>
      <w:r>
        <w:rPr>
          <w:lang w:eastAsia="zh-CN"/>
        </w:rPr>
        <w:t>，可见大模型对训练集的预测表现是显著优于对测试集的，说明大模型的预测已经处于过度拟合。在预测模型能力评估上，普遍性，即能用于未知的情况，是比是否拟合当前的数据重要的。因此，我们在</w:t>
      </w:r>
      <w:r>
        <w:rPr>
          <w:lang w:eastAsia="zh-CN"/>
        </w:rPr>
        <w:t>256</w:t>
      </w:r>
      <w:r>
        <w:rPr>
          <w:lang w:eastAsia="zh-CN"/>
        </w:rPr>
        <w:t>节点和</w:t>
      </w:r>
      <w:r>
        <w:rPr>
          <w:lang w:eastAsia="zh-CN"/>
        </w:rPr>
        <w:t>512</w:t>
      </w:r>
      <w:r>
        <w:rPr>
          <w:lang w:eastAsia="zh-CN"/>
        </w:rPr>
        <w:t>节点上，我们选择了</w:t>
      </w:r>
      <w:r>
        <w:rPr>
          <w:lang w:eastAsia="zh-CN"/>
        </w:rPr>
        <w:t>256</w:t>
      </w:r>
      <w:r>
        <w:rPr>
          <w:lang w:eastAsia="zh-CN"/>
        </w:rPr>
        <w:t>节点。</w:t>
      </w:r>
    </w:p>
    <w:p w:rsidR="004A55DD" w:rsidRDefault="00FC3E01">
      <w:pPr>
        <w:pStyle w:val="30"/>
        <w:rPr>
          <w:lang w:eastAsia="zh-CN"/>
        </w:rPr>
      </w:pPr>
      <w:bookmarkStart w:id="34" w:name="snas生存模型表现"/>
      <w:r>
        <w:rPr>
          <w:lang w:eastAsia="zh-CN"/>
        </w:rPr>
        <w:t>4.5 SNAS</w:t>
      </w:r>
      <w:r>
        <w:rPr>
          <w:lang w:eastAsia="zh-CN"/>
        </w:rPr>
        <w:t>生存模型表现</w:t>
      </w:r>
      <w:bookmarkEnd w:id="34"/>
    </w:p>
    <w:p w:rsidR="004A55DD" w:rsidRDefault="00FC3E01">
      <w:pPr>
        <w:pStyle w:val="FirstParagraph"/>
        <w:ind w:firstLine="480"/>
        <w:rPr>
          <w:lang w:eastAsia="zh-CN"/>
        </w:rPr>
      </w:pPr>
      <w:r>
        <w:rPr>
          <w:lang w:eastAsia="zh-CN"/>
        </w:rPr>
        <w:t>我们以不使用数据增强的方式共计训练了</w:t>
      </w:r>
      <w:r>
        <w:rPr>
          <w:lang w:eastAsia="zh-CN"/>
        </w:rPr>
        <w:t>600</w:t>
      </w:r>
      <w:r>
        <w:rPr>
          <w:lang w:eastAsia="zh-CN"/>
        </w:rPr>
        <w:t>个</w:t>
      </w:r>
      <w:r>
        <w:rPr>
          <w:lang w:eastAsia="zh-CN"/>
        </w:rPr>
        <w:t>256</w:t>
      </w:r>
      <w:r>
        <w:rPr>
          <w:lang w:eastAsia="zh-CN"/>
        </w:rPr>
        <w:t>节点为中间全连接层的模型，每一次模型的参数均递归于上次的模型，这样的训练方法和推荐模型的</w:t>
      </w:r>
      <w:r>
        <w:rPr>
          <w:lang w:eastAsia="zh-CN"/>
        </w:rPr>
        <w:t>on-fly</w:t>
      </w:r>
      <w:r>
        <w:rPr>
          <w:lang w:eastAsia="zh-CN"/>
        </w:rPr>
        <w:t>相似。因为每一次训练均是从</w:t>
      </w:r>
      <w:r>
        <w:rPr>
          <w:lang w:eastAsia="zh-CN"/>
        </w:rPr>
        <w:t>607</w:t>
      </w:r>
      <w:r>
        <w:rPr>
          <w:lang w:eastAsia="zh-CN"/>
        </w:rPr>
        <w:t>样本中随机选取一个区域，有时该区域包含有效的信息，有时该区域不包含有效的信息，所以，虽然每一次模型的参数训练均基于上次的模型，后一个训练出的模型却不一定会比前一个好。为选取到其中最好的模型，我们将</w:t>
      </w:r>
      <w:r>
        <w:rPr>
          <w:lang w:eastAsia="zh-CN"/>
        </w:rPr>
        <w:t>600</w:t>
      </w:r>
      <w:r>
        <w:rPr>
          <w:lang w:eastAsia="zh-CN"/>
        </w:rPr>
        <w:t>次的模型均进行了存档，以方便后续使用最好的图像训练模型结合基因信息训练出能同时分析图像和基因组数据预测生存的模型。</w:t>
      </w:r>
    </w:p>
    <w:p w:rsidR="004A55DD" w:rsidRDefault="00FC3E01">
      <w:pPr>
        <w:pStyle w:val="a0"/>
        <w:ind w:firstLine="480"/>
        <w:rPr>
          <w:lang w:eastAsia="zh-CN"/>
        </w:rPr>
      </w:pPr>
      <w:r>
        <w:rPr>
          <w:lang w:eastAsia="zh-CN"/>
        </w:rPr>
        <w:t>600</w:t>
      </w:r>
      <w:r>
        <w:rPr>
          <w:lang w:eastAsia="zh-CN"/>
        </w:rPr>
        <w:t>次训练中，模型中拟合训练集最好的达到</w:t>
      </w:r>
      <w:r>
        <w:rPr>
          <w:lang w:eastAsia="zh-CN"/>
        </w:rPr>
        <w:t>c i</w:t>
      </w:r>
      <w:r>
        <w:rPr>
          <w:lang w:eastAsia="zh-CN"/>
        </w:rPr>
        <w:t>ndex 0.61</w:t>
      </w:r>
      <w:r>
        <w:rPr>
          <w:lang w:eastAsia="zh-CN"/>
        </w:rPr>
        <w:t>，拟合验证集中最好的达到</w:t>
      </w:r>
      <w:r>
        <w:rPr>
          <w:lang w:eastAsia="zh-CN"/>
        </w:rPr>
        <w:t>c index 0.75</w:t>
      </w:r>
      <w:r>
        <w:rPr>
          <w:lang w:eastAsia="zh-CN"/>
        </w:rPr>
        <w:t>。</w:t>
      </w:r>
    </w:p>
    <w:p w:rsidR="004A55DD" w:rsidRDefault="00FC3E01">
      <w:pPr>
        <w:pStyle w:val="CaptionedFigure"/>
      </w:pPr>
      <w:r>
        <w:rPr>
          <w:noProof/>
        </w:rPr>
        <w:drawing>
          <wp:inline distT="0" distB="0" distL="0" distR="0">
            <wp:extent cx="5334000" cy="1986207"/>
            <wp:effectExtent l="0" t="0" r="0" b="0"/>
            <wp:docPr id="8" name="Picture" descr="图2" title="clf_test_performance"/>
            <wp:cNvGraphicFramePr/>
            <a:graphic xmlns:a="http://schemas.openxmlformats.org/drawingml/2006/main">
              <a:graphicData uri="http://schemas.openxmlformats.org/drawingml/2006/picture">
                <pic:pic xmlns:pic="http://schemas.openxmlformats.org/drawingml/2006/picture">
                  <pic:nvPicPr>
                    <pic:cNvPr id="0" name="Picture" descr="D:\Project\Survival-Analysis-by-Breast-Cancer-Slides\imgs\perf.png"/>
                    <pic:cNvPicPr>
                      <a:picLocks noChangeAspect="1" noChangeArrowheads="1"/>
                    </pic:cNvPicPr>
                  </pic:nvPicPr>
                  <pic:blipFill>
                    <a:blip r:embed="rId16"/>
                    <a:stretch>
                      <a:fillRect/>
                    </a:stretch>
                  </pic:blipFill>
                  <pic:spPr bwMode="auto">
                    <a:xfrm>
                      <a:off x="0" y="0"/>
                      <a:ext cx="5334000" cy="1986207"/>
                    </a:xfrm>
                    <a:prstGeom prst="rect">
                      <a:avLst/>
                    </a:prstGeom>
                    <a:noFill/>
                    <a:ln w="9525">
                      <a:noFill/>
                      <a:headEnd/>
                      <a:tailEnd/>
                    </a:ln>
                  </pic:spPr>
                </pic:pic>
              </a:graphicData>
            </a:graphic>
          </wp:inline>
        </w:drawing>
      </w:r>
    </w:p>
    <w:p w:rsidR="004A55DD" w:rsidRDefault="00FC3E01">
      <w:pPr>
        <w:pStyle w:val="ImageCaption"/>
        <w:rPr>
          <w:lang w:eastAsia="zh-CN"/>
        </w:rPr>
      </w:pPr>
      <w:r>
        <w:rPr>
          <w:lang w:eastAsia="zh-CN"/>
        </w:rPr>
        <w:t>图</w:t>
      </w:r>
      <w:r>
        <w:rPr>
          <w:lang w:eastAsia="zh-CN"/>
        </w:rPr>
        <w:t>2</w:t>
      </w:r>
    </w:p>
    <w:p w:rsidR="004A55DD" w:rsidRDefault="00FC3E01">
      <w:pPr>
        <w:pStyle w:val="30"/>
        <w:rPr>
          <w:lang w:eastAsia="zh-CN"/>
        </w:rPr>
      </w:pPr>
      <w:bookmarkStart w:id="35" w:name="数据数据量影响"/>
      <w:r>
        <w:rPr>
          <w:lang w:eastAsia="zh-CN"/>
        </w:rPr>
        <w:t xml:space="preserve">4.6 </w:t>
      </w:r>
      <w:r>
        <w:rPr>
          <w:lang w:eastAsia="zh-CN"/>
        </w:rPr>
        <w:t>数据数据量影响</w:t>
      </w:r>
      <w:bookmarkEnd w:id="35"/>
    </w:p>
    <w:p w:rsidR="004A55DD" w:rsidRDefault="00FC3E01">
      <w:pPr>
        <w:pStyle w:val="FirstParagraph"/>
        <w:ind w:firstLine="480"/>
        <w:rPr>
          <w:lang w:eastAsia="zh-CN"/>
        </w:rPr>
      </w:pPr>
      <w:r>
        <w:rPr>
          <w:lang w:eastAsia="zh-CN"/>
        </w:rPr>
        <w:t>然而，即使其中最好的模型，</w:t>
      </w:r>
      <w:r>
        <w:rPr>
          <w:lang w:eastAsia="zh-CN"/>
        </w:rPr>
        <w:t>c index 0.61</w:t>
      </w:r>
      <w:r>
        <w:rPr>
          <w:lang w:eastAsia="zh-CN"/>
        </w:rPr>
        <w:t>训练集表现，或</w:t>
      </w:r>
      <w:r>
        <w:rPr>
          <w:lang w:eastAsia="zh-CN"/>
        </w:rPr>
        <w:t>0.75 c index</w:t>
      </w:r>
      <w:r>
        <w:rPr>
          <w:lang w:eastAsia="zh-CN"/>
        </w:rPr>
        <w:t>的测试集表现也只属于中庸水平。其中很重要的原因是当前使用的训练数据量较少，如下图？？可见，使用同样的架构使用不同的数据量，训练的最终表现显著不同。同时，训练时的数据量越多，其表现越好。</w:t>
      </w:r>
    </w:p>
    <w:p w:rsidR="004A55DD" w:rsidRDefault="00FC3E01">
      <w:pPr>
        <w:pStyle w:val="30"/>
        <w:rPr>
          <w:lang w:eastAsia="zh-CN"/>
        </w:rPr>
      </w:pPr>
      <w:bookmarkStart w:id="36" w:name="端到端系统"/>
      <w:r>
        <w:rPr>
          <w:lang w:eastAsia="zh-CN"/>
        </w:rPr>
        <w:t xml:space="preserve">4.7 </w:t>
      </w:r>
      <w:r>
        <w:rPr>
          <w:lang w:eastAsia="zh-CN"/>
        </w:rPr>
        <w:t>端到端系统</w:t>
      </w:r>
      <w:bookmarkEnd w:id="36"/>
    </w:p>
    <w:p w:rsidR="004A55DD" w:rsidRDefault="00FC3E01">
      <w:pPr>
        <w:pStyle w:val="FirstParagraph"/>
        <w:ind w:firstLine="480"/>
        <w:rPr>
          <w:lang w:eastAsia="zh-CN"/>
        </w:rPr>
      </w:pPr>
      <w:r>
        <w:rPr>
          <w:lang w:eastAsia="zh-CN"/>
        </w:rPr>
        <w:t>值得注意的一点是，本文的模型训练需要任何的人力接入。因此，它是一个全自动的生存模型训练系统。该系统较好地解决了模型</w:t>
      </w:r>
      <w:r>
        <w:rPr>
          <w:lang w:eastAsia="zh-CN"/>
        </w:rPr>
        <w:t>训练需要大量人力标注这一问</w:t>
      </w:r>
      <w:r>
        <w:rPr>
          <w:lang w:eastAsia="zh-CN"/>
        </w:rPr>
        <w:lastRenderedPageBreak/>
        <w:t>题。以此，本文实现了从</w:t>
      </w:r>
      <w:r>
        <w:rPr>
          <w:lang w:eastAsia="zh-CN"/>
        </w:rPr>
        <w:t>.</w:t>
      </w:r>
      <w:proofErr w:type="spellStart"/>
      <w:r>
        <w:rPr>
          <w:lang w:eastAsia="zh-CN"/>
        </w:rPr>
        <w:t>svs</w:t>
      </w:r>
      <w:proofErr w:type="spellEnd"/>
      <w:r>
        <w:rPr>
          <w:lang w:eastAsia="zh-CN"/>
        </w:rPr>
        <w:t>文件到生存模型的流水线（</w:t>
      </w:r>
      <w:r>
        <w:rPr>
          <w:lang w:eastAsia="zh-CN"/>
        </w:rPr>
        <w:t>end-to-end pipeline</w:t>
      </w:r>
      <w:r>
        <w:rPr>
          <w:lang w:eastAsia="zh-CN"/>
        </w:rPr>
        <w:t>）。该流水线可于</w:t>
      </w:r>
      <w:r>
        <w:rPr>
          <w:lang w:eastAsia="zh-CN"/>
        </w:rPr>
        <w:t>GitHub</w:t>
      </w:r>
      <w:hyperlink r:id="rId17">
        <w:r>
          <w:rPr>
            <w:rStyle w:val="ae"/>
            <w:lang w:eastAsia="zh-CN"/>
          </w:rPr>
          <w:t>https://github.com/Moo-YewTsing/Survival-Analysis-by-Breast-Cancer-Slides</w:t>
        </w:r>
      </w:hyperlink>
      <w:r>
        <w:rPr>
          <w:lang w:eastAsia="zh-CN"/>
        </w:rPr>
        <w:t>参考。</w:t>
      </w:r>
    </w:p>
    <w:p w:rsidR="004A55DD" w:rsidRDefault="00FC3E01">
      <w:pPr>
        <w:pStyle w:val="20"/>
        <w:rPr>
          <w:lang w:eastAsia="zh-CN"/>
        </w:rPr>
      </w:pPr>
      <w:bookmarkStart w:id="37" w:name="讨论"/>
      <w:r>
        <w:rPr>
          <w:lang w:eastAsia="zh-CN"/>
        </w:rPr>
        <w:t xml:space="preserve">5 </w:t>
      </w:r>
      <w:r>
        <w:rPr>
          <w:lang w:eastAsia="zh-CN"/>
        </w:rPr>
        <w:t>讨论</w:t>
      </w:r>
      <w:bookmarkEnd w:id="37"/>
    </w:p>
    <w:p w:rsidR="004A55DD" w:rsidRDefault="00FC3E01">
      <w:pPr>
        <w:pStyle w:val="30"/>
        <w:rPr>
          <w:lang w:eastAsia="zh-CN"/>
        </w:rPr>
      </w:pPr>
      <w:bookmarkStart w:id="38" w:name="乳腺癌特征"/>
      <w:r>
        <w:rPr>
          <w:lang w:eastAsia="zh-CN"/>
        </w:rPr>
        <w:t xml:space="preserve">5.1 </w:t>
      </w:r>
      <w:r>
        <w:rPr>
          <w:lang w:eastAsia="zh-CN"/>
        </w:rPr>
        <w:t>乳腺癌特</w:t>
      </w:r>
      <w:r>
        <w:rPr>
          <w:lang w:eastAsia="zh-CN"/>
        </w:rPr>
        <w:t>征</w:t>
      </w:r>
      <w:bookmarkEnd w:id="38"/>
    </w:p>
    <w:p w:rsidR="004A55DD" w:rsidRDefault="00FC3E01">
      <w:pPr>
        <w:pStyle w:val="FirstParagraph"/>
        <w:ind w:firstLine="480"/>
        <w:rPr>
          <w:lang w:eastAsia="zh-CN"/>
        </w:rPr>
      </w:pPr>
      <w:r>
        <w:rPr>
          <w:lang w:eastAsia="zh-CN"/>
        </w:rPr>
        <w:t>乳腺癌的生存情况取决于癌症类型，发展程度和年龄。</w:t>
      </w:r>
      <w:proofErr w:type="gramStart"/>
      <w:r>
        <w:t>（</w:t>
      </w:r>
      <w:r>
        <w:t>“</w:t>
      </w:r>
      <w:proofErr w:type="gramEnd"/>
      <w:r>
        <w:t>Breast Cancer Treatment (PDQ®)”</w:t>
      </w:r>
      <w:r>
        <w:t>. NCI. 26 June 2014. Archived from the original on 5 July 2014. Retrieved 29 June 2014.</w:t>
      </w:r>
      <w:r>
        <w:t>）在发达国家，乳腺癌的生存率很高，（</w:t>
      </w:r>
      <w:r>
        <w:t>Breast cancer screening in developing countries - NCBI - NIH</w:t>
      </w:r>
      <w:r>
        <w:t>）比如，在美国，乳腺癌的五年生存率在</w:t>
      </w:r>
      <w:r>
        <w:t>89.4</w:t>
      </w:r>
      <w:r>
        <w:t>％左右。（</w:t>
      </w:r>
      <w:r>
        <w:t>“SEER Stat Fact Sheets: Breast Cancer”. NCI. Archived from the o</w:t>
      </w:r>
      <w:r>
        <w:t>riginal on 3 July 2014. Retrieved 18 June 2014.</w:t>
      </w:r>
      <w:r>
        <w:t>）</w:t>
      </w:r>
      <w:r>
        <w:t xml:space="preserve"> </w:t>
      </w:r>
      <w:r>
        <w:t>在发展中国家，存活率却不容乐观，仅为</w:t>
      </w:r>
      <w:r>
        <w:t>57%</w:t>
      </w:r>
      <w:r>
        <w:t>。（</w:t>
      </w:r>
      <w:r>
        <w:t>Breast cancer screening in developing countries - NCBI - NIH</w:t>
      </w:r>
      <w:r>
        <w:t>）就世界范围而言，乳腺癌是女性的主要癌症类型，占所有病例的</w:t>
      </w:r>
      <w:r>
        <w:t>25.2</w:t>
      </w:r>
      <w:r>
        <w:t>％，占癌症死亡成因的</w:t>
      </w:r>
      <w:r>
        <w:t>14.7%</w:t>
      </w:r>
      <w:r>
        <w:t>。（</w:t>
      </w:r>
      <w:r>
        <w:t>World Cancer Report 2014. World Health Organization. 2014. pp. Chapter 1.1</w:t>
      </w:r>
      <w:r>
        <w:t>. ISBN 978-92-832-0429-9.</w:t>
      </w:r>
      <w:r>
        <w:t>）</w:t>
      </w:r>
      <w:r>
        <w:t xml:space="preserve"> 2018</w:t>
      </w:r>
      <w:r>
        <w:t>年，它导致了超过</w:t>
      </w:r>
      <w:r>
        <w:t>200</w:t>
      </w:r>
      <w:r>
        <w:t>万新病例，同时它在发达国家更常见（</w:t>
      </w:r>
      <w:r>
        <w:t xml:space="preserve">Bray F, Ferlay J, Soerjomataram I, Siegel RL, Torre LA, Jemal A. Global Cancer Statistics 2018: GLOBOCAN estimates of incidence and mortality worldwide for 36 cancers in 185 countries. </w:t>
      </w:r>
      <w:r>
        <w:rPr>
          <w:lang w:eastAsia="zh-CN"/>
        </w:rPr>
        <w:t xml:space="preserve">CA Cancer J </w:t>
      </w:r>
      <w:r>
        <w:rPr>
          <w:lang w:eastAsia="zh-CN"/>
        </w:rPr>
        <w:t>Clin, in press.</w:t>
      </w:r>
      <w:r>
        <w:rPr>
          <w:lang w:eastAsia="zh-CN"/>
        </w:rPr>
        <w:t>）。</w:t>
      </w:r>
    </w:p>
    <w:p w:rsidR="004A55DD" w:rsidRDefault="00FC3E01">
      <w:pPr>
        <w:pStyle w:val="a0"/>
        <w:ind w:firstLine="480"/>
        <w:rPr>
          <w:lang w:eastAsia="zh-CN"/>
        </w:rPr>
      </w:pPr>
      <w:r>
        <w:rPr>
          <w:lang w:eastAsia="zh-CN"/>
        </w:rPr>
        <w:t>多种分级系统能对乳腺癌进行分类。不同类型的乳腺癌会影响预后并影响治疗反应。</w:t>
      </w:r>
    </w:p>
    <w:p w:rsidR="004A55DD" w:rsidRDefault="00FC3E01">
      <w:pPr>
        <w:pStyle w:val="a0"/>
        <w:ind w:firstLine="480"/>
        <w:rPr>
          <w:lang w:eastAsia="zh-CN"/>
        </w:rPr>
      </w:pPr>
      <w:r>
        <w:rPr>
          <w:lang w:eastAsia="zh-CN"/>
        </w:rPr>
        <w:t>乳腺癌通常主要通过其组织学外观进行分类。大多数乳腺癌来源于导管或小叶内衬的上皮细胞，这些癌症被归类为导管或小叶癌。此外，原位癌由特定组织隔室（例如乳腺导管）内的低级癌或癌前细胞发展而来，它不会侵入周围组织。相比之下，浸润性</w:t>
      </w:r>
      <w:proofErr w:type="gramStart"/>
      <w:r>
        <w:rPr>
          <w:lang w:eastAsia="zh-CN"/>
        </w:rPr>
        <w:t>癌并不</w:t>
      </w:r>
      <w:proofErr w:type="gramEnd"/>
      <w:r>
        <w:rPr>
          <w:lang w:eastAsia="zh-CN"/>
        </w:rPr>
        <w:t>局限于最初的组织隔室。（</w:t>
      </w:r>
      <w:r>
        <w:rPr>
          <w:lang w:eastAsia="zh-CN"/>
        </w:rPr>
        <w:t xml:space="preserve">Merck Manual, Professional Edition Archived 10 November 2011 at the </w:t>
      </w:r>
      <w:proofErr w:type="spellStart"/>
      <w:r>
        <w:rPr>
          <w:lang w:eastAsia="zh-CN"/>
        </w:rPr>
        <w:t>Waybac</w:t>
      </w:r>
      <w:r>
        <w:rPr>
          <w:lang w:eastAsia="zh-CN"/>
        </w:rPr>
        <w:t>k</w:t>
      </w:r>
      <w:proofErr w:type="spellEnd"/>
      <w:r>
        <w:rPr>
          <w:lang w:eastAsia="zh-CN"/>
        </w:rPr>
        <w:t xml:space="preserve"> Machine, Ch. 253, Breast Cancer.</w:t>
      </w:r>
      <w:r>
        <w:rPr>
          <w:lang w:eastAsia="zh-CN"/>
        </w:rPr>
        <w:t>）在细胞层面，</w:t>
      </w:r>
      <w:proofErr w:type="gramStart"/>
      <w:r>
        <w:rPr>
          <w:lang w:eastAsia="zh-CN"/>
        </w:rPr>
        <w:t>分级将</w:t>
      </w:r>
      <w:proofErr w:type="gramEnd"/>
      <w:r>
        <w:rPr>
          <w:lang w:eastAsia="zh-CN"/>
        </w:rPr>
        <w:t>比较乳腺癌细胞的外观与正常乳房细胞的外观。像乳房这样的器官中，正常细胞会进行分化，即它们会形成反映其作为该器官一部分的功能的特定形态。癌细胞失去了这种分化能力。在癌症中，通常以有序的方式排列以构成乳管的细胞排列无序；细胞分裂不受控制；细胞核不均匀。病理学家按细胞的分化程度将其分为良好（低级），中度分化（中级）和低分化（高级），分别对应细胞的正常乳腺细胞中所见特征的丧失程度。分化差的癌症（其组织与正常乳腺组织细胞最不相似）</w:t>
      </w:r>
      <w:r>
        <w:rPr>
          <w:lang w:eastAsia="zh-CN"/>
        </w:rPr>
        <w:t>的预后较差。在分期上，乳腺癌使用</w:t>
      </w:r>
      <w:r>
        <w:rPr>
          <w:lang w:eastAsia="zh-CN"/>
        </w:rPr>
        <w:t>TNM</w:t>
      </w:r>
      <w:r>
        <w:rPr>
          <w:lang w:eastAsia="zh-CN"/>
        </w:rPr>
        <w:t>系统分期。该系统基于肿瘤的大小（</w:t>
      </w:r>
      <w:r>
        <w:rPr>
          <w:lang w:eastAsia="zh-CN"/>
        </w:rPr>
        <w:t>T</w:t>
      </w:r>
      <w:r>
        <w:rPr>
          <w:lang w:eastAsia="zh-CN"/>
        </w:rPr>
        <w:t>），肿瘤是否已经扩散到腋窝的淋巴结（</w:t>
      </w:r>
      <w:r>
        <w:rPr>
          <w:lang w:eastAsia="zh-CN"/>
        </w:rPr>
        <w:t>N</w:t>
      </w:r>
      <w:r>
        <w:rPr>
          <w:lang w:eastAsia="zh-CN"/>
        </w:rPr>
        <w:t>），以及肿瘤是否已经转移（</w:t>
      </w:r>
      <w:r>
        <w:rPr>
          <w:lang w:eastAsia="zh-CN"/>
        </w:rPr>
        <w:t>M</w:t>
      </w:r>
      <w:r>
        <w:rPr>
          <w:lang w:eastAsia="zh-CN"/>
        </w:rPr>
        <w:t>）（即扩散到肿瘤发生源头远处的身体部分）。体积较大，淋巴结扩散和转移具有较大的分期数和较差的预后。</w:t>
      </w:r>
    </w:p>
    <w:p w:rsidR="004A55DD" w:rsidRDefault="00FC3E01">
      <w:pPr>
        <w:pStyle w:val="30"/>
      </w:pPr>
      <w:bookmarkStart w:id="39" w:name="模型情况"/>
      <w:r>
        <w:lastRenderedPageBreak/>
        <w:t xml:space="preserve">5.2 </w:t>
      </w:r>
      <w:proofErr w:type="spellStart"/>
      <w:r>
        <w:t>模型情况</w:t>
      </w:r>
      <w:bookmarkEnd w:id="39"/>
      <w:proofErr w:type="spellEnd"/>
    </w:p>
    <w:p w:rsidR="004A55DD" w:rsidRDefault="00FC3E01">
      <w:pPr>
        <w:pStyle w:val="FirstParagraph"/>
        <w:ind w:firstLine="480"/>
        <w:rPr>
          <w:lang w:eastAsia="zh-CN"/>
        </w:rPr>
      </w:pPr>
      <w:r>
        <w:t>该模型的主体为</w:t>
      </w:r>
      <w:r>
        <w:t>Google Brain</w:t>
      </w:r>
      <w:r>
        <w:t>的</w:t>
      </w:r>
      <w:r>
        <w:t>NASNet</w:t>
      </w:r>
      <w:r>
        <w:t>模型，该模型为</w:t>
      </w:r>
      <w:r>
        <w:t>Google Brain</w:t>
      </w:r>
      <w:r>
        <w:t>使用其开发的</w:t>
      </w:r>
      <w:r>
        <w:t>Auto ML</w:t>
      </w:r>
      <w:r>
        <w:t>自动探索生成，在普通的图像识别中，其能力已经表现优异。在本文研究完成时，我们尚未发现有其他研究将</w:t>
      </w:r>
      <w:r>
        <w:t>NASNet</w:t>
      </w:r>
      <w:proofErr w:type="spellStart"/>
      <w:r>
        <w:t>应用于生存分析模型</w:t>
      </w:r>
      <w:proofErr w:type="spellEnd"/>
      <w:r>
        <w:t>。</w:t>
      </w:r>
      <w:r>
        <w:rPr>
          <w:lang w:eastAsia="zh-CN"/>
        </w:rPr>
        <w:t>我们的结果表</w:t>
      </w:r>
      <w:r>
        <w:rPr>
          <w:lang w:eastAsia="zh-CN"/>
        </w:rPr>
        <w:t>明</w:t>
      </w:r>
      <w:proofErr w:type="spellStart"/>
      <w:r>
        <w:rPr>
          <w:lang w:eastAsia="zh-CN"/>
        </w:rPr>
        <w:t>NASNet</w:t>
      </w:r>
      <w:proofErr w:type="spellEnd"/>
      <w:r>
        <w:rPr>
          <w:lang w:eastAsia="zh-CN"/>
        </w:rPr>
        <w:t>是适用于生存分析的。毕竟从概念层面来讲，分析图像的生存模型需要先适用于图像识别的神经网络，以往的研究使用</w:t>
      </w:r>
      <w:r>
        <w:rPr>
          <w:lang w:eastAsia="zh-CN"/>
        </w:rPr>
        <w:t>DCNN</w:t>
      </w:r>
      <w:r>
        <w:rPr>
          <w:lang w:eastAsia="zh-CN"/>
        </w:rPr>
        <w:t>，我们使用</w:t>
      </w:r>
      <w:proofErr w:type="spellStart"/>
      <w:r>
        <w:rPr>
          <w:lang w:eastAsia="zh-CN"/>
        </w:rPr>
        <w:t>NASNet</w:t>
      </w:r>
      <w:proofErr w:type="spellEnd"/>
      <w:r>
        <w:rPr>
          <w:lang w:eastAsia="zh-CN"/>
        </w:rPr>
        <w:t>，在概念层面均是应用于图像识别的神经网络。因此，既然</w:t>
      </w:r>
      <w:proofErr w:type="spellStart"/>
      <w:r>
        <w:rPr>
          <w:lang w:eastAsia="zh-CN"/>
        </w:rPr>
        <w:t>NASNet</w:t>
      </w:r>
      <w:proofErr w:type="spellEnd"/>
      <w:r>
        <w:rPr>
          <w:lang w:eastAsia="zh-CN"/>
        </w:rPr>
        <w:t>在图像识别上优于其他的神经网络，我们认为使用</w:t>
      </w:r>
      <w:proofErr w:type="spellStart"/>
      <w:r>
        <w:rPr>
          <w:lang w:eastAsia="zh-CN"/>
        </w:rPr>
        <w:t>NASNet</w:t>
      </w:r>
      <w:proofErr w:type="spellEnd"/>
      <w:r>
        <w:rPr>
          <w:lang w:eastAsia="zh-CN"/>
        </w:rPr>
        <w:t>替代</w:t>
      </w:r>
      <w:r>
        <w:rPr>
          <w:lang w:eastAsia="zh-CN"/>
        </w:rPr>
        <w:t>DCNN</w:t>
      </w:r>
      <w:r>
        <w:rPr>
          <w:lang w:eastAsia="zh-CN"/>
        </w:rPr>
        <w:t>是一个很好的策略。</w:t>
      </w:r>
    </w:p>
    <w:p w:rsidR="004A55DD" w:rsidRDefault="00FC3E01">
      <w:pPr>
        <w:pStyle w:val="a0"/>
        <w:ind w:firstLine="480"/>
        <w:rPr>
          <w:lang w:eastAsia="zh-CN"/>
        </w:rPr>
      </w:pPr>
      <w:r>
        <w:rPr>
          <w:lang w:eastAsia="zh-CN"/>
        </w:rPr>
        <w:t>事实上，可以通过模型</w:t>
      </w:r>
      <w:proofErr w:type="gramStart"/>
      <w:r>
        <w:rPr>
          <w:lang w:eastAsia="zh-CN"/>
        </w:rPr>
        <w:t>预测热图可视化</w:t>
      </w:r>
      <w:proofErr w:type="gramEnd"/>
      <w:r>
        <w:rPr>
          <w:lang w:eastAsia="zh-CN"/>
        </w:rPr>
        <w:t>（</w:t>
      </w:r>
      <w:r>
        <w:rPr>
          <w:lang w:eastAsia="zh-CN"/>
        </w:rPr>
        <w:t>heat map visualization</w:t>
      </w:r>
      <w:r>
        <w:rPr>
          <w:lang w:eastAsia="zh-CN"/>
        </w:rPr>
        <w:t>）技术观察</w:t>
      </w:r>
      <w:r>
        <w:rPr>
          <w:lang w:eastAsia="zh-CN"/>
        </w:rPr>
        <w:t>SNAS</w:t>
      </w:r>
      <w:r>
        <w:rPr>
          <w:lang w:eastAsia="zh-CN"/>
        </w:rPr>
        <w:t>识别的部分。目前由于缺乏相关专业的人员支持，暂时无法对模型关注的区域进行分析。这些被关注区域的分析应当能为解释模型</w:t>
      </w:r>
      <w:r>
        <w:rPr>
          <w:lang w:eastAsia="zh-CN"/>
        </w:rPr>
        <w:t>提供帮助，同时为如何优化模型提供依据。因此，此处的关注区域分析是补足该研究的重点之一。同时，或许模型的关注能力本身也能帮助医疗人员搜索重点区域，协助其进行诊断。</w:t>
      </w:r>
      <w:r>
        <w:rPr>
          <w:lang w:eastAsia="zh-CN"/>
        </w:rPr>
        <w:t xml:space="preserve">  </w:t>
      </w:r>
      <w:r>
        <w:rPr>
          <w:lang w:eastAsia="zh-CN"/>
        </w:rPr>
        <w:t>该模型大小适中，当前主流的个人计算机（</w:t>
      </w:r>
      <w:r>
        <w:rPr>
          <w:lang w:eastAsia="zh-CN"/>
        </w:rPr>
        <w:t>3G</w:t>
      </w:r>
      <w:r>
        <w:rPr>
          <w:lang w:eastAsia="zh-CN"/>
        </w:rPr>
        <w:t>显示卡内存，</w:t>
      </w:r>
      <w:r>
        <w:rPr>
          <w:lang w:eastAsia="zh-CN"/>
        </w:rPr>
        <w:t>8G RAM</w:t>
      </w:r>
      <w:r>
        <w:rPr>
          <w:lang w:eastAsia="zh-CN"/>
        </w:rPr>
        <w:t>内存）即可正常使用。目前的相关生存分析模型则相当巨大，如。对硬件要求较低能使更广泛的人群使用。与此同时，该模型的相对简单也更方便他人进行增强和修改。</w:t>
      </w:r>
    </w:p>
    <w:p w:rsidR="004A55DD" w:rsidRDefault="00FC3E01">
      <w:pPr>
        <w:pStyle w:val="30"/>
        <w:rPr>
          <w:lang w:eastAsia="zh-CN"/>
        </w:rPr>
      </w:pPr>
      <w:bookmarkStart w:id="40" w:name="数据情况"/>
      <w:r>
        <w:rPr>
          <w:lang w:eastAsia="zh-CN"/>
        </w:rPr>
        <w:t xml:space="preserve">5.3 </w:t>
      </w:r>
      <w:r>
        <w:rPr>
          <w:lang w:eastAsia="zh-CN"/>
        </w:rPr>
        <w:t>数据情况</w:t>
      </w:r>
      <w:bookmarkEnd w:id="40"/>
    </w:p>
    <w:p w:rsidR="004A55DD" w:rsidRDefault="00FC3E01">
      <w:pPr>
        <w:pStyle w:val="FirstParagraph"/>
        <w:ind w:firstLine="480"/>
        <w:rPr>
          <w:lang w:eastAsia="zh-CN"/>
        </w:rPr>
      </w:pPr>
      <w:r>
        <w:rPr>
          <w:lang w:eastAsia="zh-CN"/>
        </w:rPr>
        <w:t>本研究使用的数据在深度学习领域相对而言是比较少的，因此不得不使用了迁移学习。在研究初期，我们将生存模型中的</w:t>
      </w:r>
      <w:proofErr w:type="spellStart"/>
      <w:r>
        <w:rPr>
          <w:lang w:eastAsia="zh-CN"/>
        </w:rPr>
        <w:t>NASN</w:t>
      </w:r>
      <w:r>
        <w:rPr>
          <w:lang w:eastAsia="zh-CN"/>
        </w:rPr>
        <w:t>et</w:t>
      </w:r>
      <w:proofErr w:type="spellEnd"/>
      <w:r>
        <w:rPr>
          <w:lang w:eastAsia="zh-CN"/>
        </w:rPr>
        <w:t>部分也作为参数学习对象，然而由于生存分析本是一件相对于普通图像识别困难的任务，同时训练样本量仅有</w:t>
      </w:r>
      <w:r>
        <w:rPr>
          <w:lang w:eastAsia="zh-CN"/>
        </w:rPr>
        <w:t>607</w:t>
      </w:r>
      <w:r>
        <w:rPr>
          <w:lang w:eastAsia="zh-CN"/>
        </w:rPr>
        <w:t>，模型无法实现数据拟合，</w:t>
      </w:r>
      <w:r>
        <w:rPr>
          <w:lang w:eastAsia="zh-CN"/>
        </w:rPr>
        <w:t xml:space="preserve">Negative Log </w:t>
      </w:r>
      <w:r>
        <w:rPr>
          <w:lang w:eastAsia="zh-CN"/>
        </w:rPr>
        <w:t>损失函数的结果甚至出现</w:t>
      </w:r>
      <w:r>
        <w:rPr>
          <w:lang w:eastAsia="zh-CN"/>
        </w:rPr>
        <w:t>overflow</w:t>
      </w:r>
      <w:r>
        <w:rPr>
          <w:lang w:eastAsia="zh-CN"/>
        </w:rPr>
        <w:t>，即超过系统所能处理的范围，出现</w:t>
      </w:r>
      <w:r>
        <w:rPr>
          <w:lang w:eastAsia="zh-CN"/>
        </w:rPr>
        <w:t>“Nan”(not a number)</w:t>
      </w:r>
      <w:r>
        <w:rPr>
          <w:lang w:eastAsia="zh-CN"/>
        </w:rPr>
        <w:t>的错误数字。</w:t>
      </w:r>
    </w:p>
    <w:p w:rsidR="004A55DD" w:rsidRDefault="00FC3E01">
      <w:pPr>
        <w:pStyle w:val="a0"/>
        <w:ind w:firstLine="480"/>
        <w:rPr>
          <w:lang w:eastAsia="zh-CN"/>
        </w:rPr>
      </w:pPr>
      <w:r>
        <w:rPr>
          <w:lang w:eastAsia="zh-CN"/>
        </w:rPr>
        <w:t>我们的迁移学习使用了</w:t>
      </w:r>
      <w:r>
        <w:rPr>
          <w:lang w:eastAsia="zh-CN"/>
        </w:rPr>
        <w:t>Kaggle HCD</w:t>
      </w:r>
      <w:r>
        <w:rPr>
          <w:lang w:eastAsia="zh-CN"/>
        </w:rPr>
        <w:t>数据库。该数据库的数据标记的乳腺癌病理图像。我们所研究的生存分析问题正是关于乳腺癌。正因如此，由该模型训练出来的</w:t>
      </w:r>
      <w:proofErr w:type="spellStart"/>
      <w:r>
        <w:rPr>
          <w:lang w:eastAsia="zh-CN"/>
        </w:rPr>
        <w:t>NASNet</w:t>
      </w:r>
      <w:proofErr w:type="spellEnd"/>
      <w:r>
        <w:rPr>
          <w:lang w:eastAsia="zh-CN"/>
        </w:rPr>
        <w:t>分类器不仅仅完成了样本有效区域筛选这一任务，同时其中的</w:t>
      </w:r>
      <w:proofErr w:type="spellStart"/>
      <w:r>
        <w:rPr>
          <w:lang w:eastAsia="zh-CN"/>
        </w:rPr>
        <w:t>NASNet</w:t>
      </w:r>
      <w:proofErr w:type="spellEnd"/>
      <w:r>
        <w:rPr>
          <w:lang w:eastAsia="zh-CN"/>
        </w:rPr>
        <w:t>部分</w:t>
      </w:r>
      <w:r>
        <w:rPr>
          <w:lang w:eastAsia="zh-CN"/>
        </w:rPr>
        <w:t>迁移接入我们之后训练的生存模型。我们研究的结果表明</w:t>
      </w:r>
      <w:r>
        <w:rPr>
          <w:lang w:eastAsia="zh-CN"/>
        </w:rPr>
        <w:t>Kaggle HCD</w:t>
      </w:r>
      <w:r>
        <w:rPr>
          <w:lang w:eastAsia="zh-CN"/>
        </w:rPr>
        <w:t>数据库具有相当高的质量，类似的研究如果遭遇高质量数据不足的问题时或许可以试着应用该数据库。</w:t>
      </w:r>
    </w:p>
    <w:p w:rsidR="004A55DD" w:rsidRDefault="00FC3E01">
      <w:pPr>
        <w:pStyle w:val="a0"/>
        <w:ind w:firstLine="480"/>
        <w:rPr>
          <w:lang w:eastAsia="zh-CN"/>
        </w:rPr>
      </w:pPr>
      <w:r>
        <w:rPr>
          <w:lang w:eastAsia="zh-CN"/>
        </w:rPr>
        <w:t>不过随着医疗信息电子化，以及医疗信息学的更广泛应用，数据不足这一问题将被逐渐解决。正如我们在结果数据量部分说明的，训练样本的数量越多，其训练出来的模型表现也就越出色。</w:t>
      </w:r>
    </w:p>
    <w:p w:rsidR="004A55DD" w:rsidRDefault="00FC3E01">
      <w:pPr>
        <w:pStyle w:val="30"/>
        <w:rPr>
          <w:lang w:eastAsia="zh-CN"/>
        </w:rPr>
      </w:pPr>
      <w:bookmarkStart w:id="41" w:name="应用"/>
      <w:r>
        <w:rPr>
          <w:lang w:eastAsia="zh-CN"/>
        </w:rPr>
        <w:t xml:space="preserve">5.4 </w:t>
      </w:r>
      <w:r>
        <w:rPr>
          <w:lang w:eastAsia="zh-CN"/>
        </w:rPr>
        <w:t>应用</w:t>
      </w:r>
      <w:bookmarkEnd w:id="41"/>
    </w:p>
    <w:p w:rsidR="004A55DD" w:rsidRDefault="00FC3E01">
      <w:pPr>
        <w:pStyle w:val="FirstParagraph"/>
        <w:ind w:firstLine="480"/>
        <w:rPr>
          <w:lang w:eastAsia="zh-CN"/>
        </w:rPr>
      </w:pPr>
      <w:r>
        <w:rPr>
          <w:lang w:eastAsia="zh-CN"/>
        </w:rPr>
        <w:t>随着发达国家老龄化的加剧，以及全球人口人均寿命的普遍提高，癌症的发病率逐年提高。然而，此时人口结构变化，发达国家新生代人数逐年减少，发展中国</w:t>
      </w:r>
      <w:r>
        <w:rPr>
          <w:lang w:eastAsia="zh-CN"/>
        </w:rPr>
        <w:lastRenderedPageBreak/>
        <w:t>家的人口出生率随着经济的发展</w:t>
      </w:r>
      <w:r>
        <w:rPr>
          <w:lang w:eastAsia="zh-CN"/>
        </w:rPr>
        <w:t>也在下降中。这意味这在不久的将来，更重的医疗问题需要更少的人去解决。</w:t>
      </w:r>
    </w:p>
    <w:p w:rsidR="004A55DD" w:rsidRDefault="00FC3E01">
      <w:pPr>
        <w:pStyle w:val="a0"/>
        <w:ind w:firstLine="480"/>
        <w:rPr>
          <w:lang w:eastAsia="zh-CN"/>
        </w:rPr>
      </w:pPr>
      <w:r>
        <w:rPr>
          <w:lang w:eastAsia="zh-CN"/>
        </w:rPr>
        <w:t>文中提及的专家分析特征的工作从</w:t>
      </w:r>
      <w:r>
        <w:rPr>
          <w:lang w:eastAsia="zh-CN"/>
        </w:rPr>
        <w:t>2011</w:t>
      </w:r>
      <w:r>
        <w:rPr>
          <w:lang w:eastAsia="zh-CN"/>
        </w:rPr>
        <w:t>年</w:t>
      </w:r>
      <w:r>
        <w:rPr>
          <w:lang w:eastAsia="zh-CN"/>
        </w:rPr>
        <w:t>11</w:t>
      </w:r>
      <w:r>
        <w:rPr>
          <w:lang w:eastAsia="zh-CN"/>
        </w:rPr>
        <w:t>月开展，一直持续到</w:t>
      </w:r>
      <w:r>
        <w:rPr>
          <w:lang w:eastAsia="zh-CN"/>
        </w:rPr>
        <w:t>2014</w:t>
      </w:r>
      <w:r>
        <w:rPr>
          <w:lang w:eastAsia="zh-CN"/>
        </w:rPr>
        <w:t>年</w:t>
      </w:r>
      <w:r>
        <w:rPr>
          <w:lang w:eastAsia="zh-CN"/>
        </w:rPr>
        <w:t>3</w:t>
      </w:r>
      <w:r>
        <w:rPr>
          <w:lang w:eastAsia="zh-CN"/>
        </w:rPr>
        <w:t>月才结束。分析的</w:t>
      </w:r>
      <w:r>
        <w:rPr>
          <w:lang w:eastAsia="zh-CN"/>
        </w:rPr>
        <w:t>850</w:t>
      </w:r>
      <w:r>
        <w:rPr>
          <w:lang w:eastAsia="zh-CN"/>
        </w:rPr>
        <w:t>份样本历时近</w:t>
      </w:r>
      <w:r>
        <w:rPr>
          <w:lang w:eastAsia="zh-CN"/>
        </w:rPr>
        <w:t>28</w:t>
      </w:r>
      <w:r>
        <w:rPr>
          <w:lang w:eastAsia="zh-CN"/>
        </w:rPr>
        <w:t>个月。可见，直接使用人力对医疗图像进行分析的成本很高。使用这些专家分析的特征，我们建立的基本</w:t>
      </w:r>
      <w:r>
        <w:rPr>
          <w:lang w:eastAsia="zh-CN"/>
        </w:rPr>
        <w:t>Cox HP</w:t>
      </w:r>
      <w:r>
        <w:rPr>
          <w:lang w:eastAsia="zh-CN"/>
        </w:rPr>
        <w:t>模型对测试集的预测表现为</w:t>
      </w:r>
      <w:r>
        <w:rPr>
          <w:lang w:eastAsia="zh-CN"/>
        </w:rPr>
        <w:t>0.71 c index</w:t>
      </w:r>
      <w:r>
        <w:rPr>
          <w:lang w:eastAsia="zh-CN"/>
        </w:rPr>
        <w:t>，对训练集的拟合表现为</w:t>
      </w:r>
      <w:r>
        <w:rPr>
          <w:lang w:eastAsia="zh-CN"/>
        </w:rPr>
        <w:t>0. c index</w:t>
      </w:r>
      <w:r>
        <w:rPr>
          <w:lang w:eastAsia="zh-CN"/>
        </w:rPr>
        <w:t>。模型中拟合训练集最好的达到</w:t>
      </w:r>
      <w:r>
        <w:rPr>
          <w:lang w:eastAsia="zh-CN"/>
        </w:rPr>
        <w:t>c index 0.61</w:t>
      </w:r>
      <w:r>
        <w:rPr>
          <w:lang w:eastAsia="zh-CN"/>
        </w:rPr>
        <w:t>，预测验证集中最好的达到</w:t>
      </w:r>
      <w:r>
        <w:rPr>
          <w:lang w:eastAsia="zh-CN"/>
        </w:rPr>
        <w:t>c index 0.75</w:t>
      </w:r>
      <w:r>
        <w:rPr>
          <w:lang w:eastAsia="zh-CN"/>
        </w:rPr>
        <w:t>。因此，虽然该系统的模型总体表现并未</w:t>
      </w:r>
      <w:r>
        <w:rPr>
          <w:lang w:eastAsia="zh-CN"/>
        </w:rPr>
        <w:t>超过基本</w:t>
      </w:r>
      <w:r>
        <w:rPr>
          <w:lang w:eastAsia="zh-CN"/>
        </w:rPr>
        <w:t>Cox HP</w:t>
      </w:r>
      <w:r>
        <w:rPr>
          <w:lang w:eastAsia="zh-CN"/>
        </w:rPr>
        <w:t>模型。但这是一个真正意义的全自动模型训练系统。因此，这类低人力成本模型，尽管没有超过人工模型，其仍然具有良好的应用发展前景。</w:t>
      </w:r>
    </w:p>
    <w:sectPr w:rsidR="004A55D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E01" w:rsidRDefault="00FC3E01">
      <w:pPr>
        <w:spacing w:after="0"/>
      </w:pPr>
      <w:r>
        <w:separator/>
      </w:r>
    </w:p>
  </w:endnote>
  <w:endnote w:type="continuationSeparator" w:id="0">
    <w:p w:rsidR="00FC3E01" w:rsidRDefault="00FC3E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小标宋_GBK">
    <w:altName w:val="宋体"/>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E01" w:rsidRDefault="00FC3E01">
      <w:r>
        <w:separator/>
      </w:r>
    </w:p>
  </w:footnote>
  <w:footnote w:type="continuationSeparator" w:id="0">
    <w:p w:rsidR="00FC3E01" w:rsidRDefault="00FC3E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50B4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E20FC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D5CA0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F5C2D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0408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EB03FD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C406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54D8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DC7E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BED3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57370"/>
    <w:multiLevelType w:val="hybridMultilevel"/>
    <w:tmpl w:val="C20244C4"/>
    <w:lvl w:ilvl="0" w:tplc="B1AEFB7A">
      <w:start w:val="1"/>
      <w:numFmt w:val="lowerLetter"/>
      <w:pStyle w:val="2"/>
      <w:suff w:val="nothing"/>
      <w:lvlText w:val="%1)"/>
      <w:lvlJc w:val="left"/>
      <w:pPr>
        <w:ind w:left="0" w:firstLine="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0CD2DE"/>
    <w:multiLevelType w:val="multilevel"/>
    <w:tmpl w:val="D37827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56F20B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C24023D"/>
    <w:multiLevelType w:val="hybridMultilevel"/>
    <w:tmpl w:val="1AB29590"/>
    <w:lvl w:ilvl="0" w:tplc="F39EBF46">
      <w:start w:val="1"/>
      <w:numFmt w:val="upperRoman"/>
      <w:pStyle w:val="1"/>
      <w:suff w:val="nothing"/>
      <w:lvlText w:val="%1."/>
      <w:lvlJc w:val="right"/>
      <w:pPr>
        <w:ind w:left="0" w:firstLine="54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261E5B"/>
    <w:multiLevelType w:val="hybridMultilevel"/>
    <w:tmpl w:val="A68AA698"/>
    <w:lvl w:ilvl="0" w:tplc="ACC2FFB0">
      <w:start w:val="1"/>
      <w:numFmt w:val="decimal"/>
      <w:pStyle w:val="4"/>
      <w:suff w:val="nothing"/>
      <w:lvlText w:val="（%1）"/>
      <w:lvlJc w:val="left"/>
      <w:pPr>
        <w:ind w:left="0" w:firstLine="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4A0462"/>
    <w:multiLevelType w:val="hybridMultilevel"/>
    <w:tmpl w:val="97901AE2"/>
    <w:lvl w:ilvl="0" w:tplc="EADA2BFC">
      <w:start w:val="1"/>
      <w:numFmt w:val="decimal"/>
      <w:pStyle w:val="3"/>
      <w:suff w:val="nothing"/>
      <w:lvlText w:val="%1."/>
      <w:lvlJc w:val="left"/>
      <w:pPr>
        <w:ind w:left="0" w:firstLine="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1"/>
  </w:num>
  <w:num w:numId="3">
    <w:abstractNumId w:val="14"/>
  </w:num>
  <w:num w:numId="4">
    <w:abstractNumId w:val="15"/>
  </w:num>
  <w:num w:numId="5">
    <w:abstractNumId w:val="10"/>
  </w:num>
  <w:num w:numId="6">
    <w:abstractNumId w:val="1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229C"/>
    <w:rsid w:val="004A55DD"/>
    <w:rsid w:val="004E29B3"/>
    <w:rsid w:val="004E30A4"/>
    <w:rsid w:val="00590D07"/>
    <w:rsid w:val="00784D58"/>
    <w:rsid w:val="008D6863"/>
    <w:rsid w:val="008E156B"/>
    <w:rsid w:val="00AC213A"/>
    <w:rsid w:val="00B86B75"/>
    <w:rsid w:val="00B97230"/>
    <w:rsid w:val="00BC48D5"/>
    <w:rsid w:val="00C36279"/>
    <w:rsid w:val="00E315A3"/>
    <w:rsid w:val="00FC3E01"/>
    <w:rsid w:val="00FD507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2ACF"/>
  <w15:docId w15:val="{5B19719E-E96A-497F-AD1C-A8EA510E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4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229C"/>
  </w:style>
  <w:style w:type="paragraph" w:styleId="10">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0">
    <w:name w:val="heading 2"/>
    <w:basedOn w:val="a"/>
    <w:next w:val="a0"/>
    <w:uiPriority w:val="9"/>
    <w:unhideWhenUsed/>
    <w:qFormat/>
    <w:rsid w:val="008E156B"/>
    <w:pPr>
      <w:keepNext/>
      <w:keepLines/>
      <w:spacing w:before="200" w:after="0"/>
      <w:outlineLvl w:val="1"/>
    </w:pPr>
    <w:rPr>
      <w:rFonts w:ascii="黑体" w:eastAsia="黑体" w:hAnsi="黑体" w:cs="黑体"/>
      <w:bCs/>
      <w:sz w:val="28"/>
      <w:szCs w:val="32"/>
    </w:rPr>
  </w:style>
  <w:style w:type="paragraph" w:styleId="30">
    <w:name w:val="heading 3"/>
    <w:basedOn w:val="a"/>
    <w:next w:val="a0"/>
    <w:uiPriority w:val="9"/>
    <w:unhideWhenUsed/>
    <w:qFormat/>
    <w:rsid w:val="008E156B"/>
    <w:pPr>
      <w:keepNext/>
      <w:keepLines/>
      <w:spacing w:before="200" w:after="0"/>
      <w:outlineLvl w:val="2"/>
    </w:pPr>
    <w:rPr>
      <w:rFonts w:ascii="黑体" w:eastAsia="黑体" w:hAnsi="黑体" w:cstheme="majorBidi"/>
      <w:bCs/>
      <w:sz w:val="28"/>
      <w:szCs w:val="28"/>
    </w:rPr>
  </w:style>
  <w:style w:type="paragraph" w:styleId="40">
    <w:name w:val="heading 4"/>
    <w:basedOn w:val="a"/>
    <w:next w:val="a0"/>
    <w:uiPriority w:val="9"/>
    <w:unhideWhenUsed/>
    <w:qFormat/>
    <w:rsid w:val="00B97230"/>
    <w:pPr>
      <w:keepNext/>
      <w:keepLines/>
      <w:spacing w:before="200" w:after="0"/>
      <w:outlineLvl w:val="3"/>
    </w:pPr>
    <w:rPr>
      <w:rFonts w:asciiTheme="minorEastAsia" w:hAnsiTheme="minorEastAsia" w:cstheme="minorEastAsia"/>
      <w:b/>
      <w:bCs/>
      <w:color w:val="000000" w:themeColor="tex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B97230"/>
    <w:pPr>
      <w:spacing w:before="180" w:after="180"/>
      <w:ind w:firstLineChars="200" w:firstLine="200"/>
    </w:pPr>
    <w:rPr>
      <w:rFonts w:ascii="Times New Roman" w:hAnsi="Times New Roman"/>
    </w:rPr>
  </w:style>
  <w:style w:type="paragraph" w:customStyle="1" w:styleId="FirstParagraph">
    <w:name w:val="First Paragraph"/>
    <w:basedOn w:val="a0"/>
    <w:next w:val="a0"/>
    <w:link w:val="FirstParagraph0"/>
    <w:qFormat/>
  </w:style>
  <w:style w:type="paragraph" w:customStyle="1" w:styleId="Compact">
    <w:name w:val="Compact"/>
    <w:basedOn w:val="a0"/>
    <w:qFormat/>
    <w:rsid w:val="0002229C"/>
    <w:pPr>
      <w:spacing w:before="36" w:after="36" w:line="360" w:lineRule="auto"/>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rsid w:val="00B97230"/>
    <w:pPr>
      <w:spacing w:after="120"/>
    </w:pPr>
    <w:rPr>
      <w:rFonts w:ascii="Times New Roman" w:hAnsi="Times New Roman" w:cstheme="minorEastAsia"/>
      <w:color w:val="000000" w:themeColor="text1"/>
      <w:sz w:val="21"/>
      <w:szCs w:val="21"/>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B97230"/>
    <w:rPr>
      <w:rFonts w:ascii="Times New Roman" w:eastAsiaTheme="minorEastAsia" w:hAnsi="Times New Roman" w:cstheme="minorEastAsia"/>
      <w:color w:val="000000" w:themeColor="text1"/>
      <w:sz w:val="21"/>
      <w:szCs w:val="21"/>
    </w:rPr>
  </w:style>
  <w:style w:type="character" w:customStyle="1" w:styleId="VerbatimChar">
    <w:name w:val="Verbatim Char"/>
    <w:basedOn w:val="ac"/>
    <w:link w:val="SourceCode"/>
    <w:rPr>
      <w:rFonts w:ascii="Consolas" w:eastAsiaTheme="minorEastAsia" w:hAnsi="Consolas" w:cstheme="minorEastAsia"/>
      <w:color w:val="000000" w:themeColor="text1"/>
      <w:sz w:val="22"/>
      <w:szCs w:val="21"/>
    </w:rPr>
  </w:style>
  <w:style w:type="character" w:styleId="ad">
    <w:name w:val="footnote reference"/>
    <w:basedOn w:val="ac"/>
    <w:rPr>
      <w:rFonts w:ascii="Times New Roman" w:eastAsiaTheme="minorEastAsia" w:hAnsi="Times New Roman" w:cstheme="minorEastAsia"/>
      <w:color w:val="000000" w:themeColor="text1"/>
      <w:sz w:val="21"/>
      <w:szCs w:val="21"/>
      <w:vertAlign w:val="superscript"/>
    </w:rPr>
  </w:style>
  <w:style w:type="character" w:styleId="ae">
    <w:name w:val="Hyperlink"/>
    <w:basedOn w:val="ac"/>
    <w:rsid w:val="008E156B"/>
    <w:rPr>
      <w:rFonts w:asciiTheme="minorEastAsia" w:eastAsiaTheme="minorEastAsia" w:hAnsiTheme="minorEastAsia" w:cstheme="minorEastAsia"/>
      <w:color w:val="000000" w:themeColor="text1"/>
      <w:sz w:val="24"/>
      <w:szCs w:val="21"/>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eastAsiaTheme="minorEastAsia" w:hAnsi="Consolas" w:cstheme="minorEastAsia"/>
      <w:b/>
      <w:color w:val="007020"/>
      <w:sz w:val="22"/>
      <w:szCs w:val="21"/>
    </w:rPr>
  </w:style>
  <w:style w:type="character" w:customStyle="1" w:styleId="DataTypeTok">
    <w:name w:val="DataTypeTok"/>
    <w:basedOn w:val="VerbatimChar"/>
    <w:rPr>
      <w:rFonts w:ascii="Consolas" w:eastAsiaTheme="minorEastAsia" w:hAnsi="Consolas" w:cstheme="minorEastAsia"/>
      <w:color w:val="902000"/>
      <w:sz w:val="22"/>
      <w:szCs w:val="21"/>
    </w:rPr>
  </w:style>
  <w:style w:type="character" w:customStyle="1" w:styleId="DecValTok">
    <w:name w:val="DecValTok"/>
    <w:basedOn w:val="VerbatimChar"/>
    <w:rPr>
      <w:rFonts w:ascii="Consolas" w:eastAsiaTheme="minorEastAsia" w:hAnsi="Consolas" w:cstheme="minorEastAsia"/>
      <w:color w:val="40A070"/>
      <w:sz w:val="22"/>
      <w:szCs w:val="21"/>
    </w:rPr>
  </w:style>
  <w:style w:type="character" w:customStyle="1" w:styleId="BaseNTok">
    <w:name w:val="BaseNTok"/>
    <w:basedOn w:val="VerbatimChar"/>
    <w:rPr>
      <w:rFonts w:ascii="Consolas" w:eastAsiaTheme="minorEastAsia" w:hAnsi="Consolas" w:cstheme="minorEastAsia"/>
      <w:color w:val="40A070"/>
      <w:sz w:val="22"/>
      <w:szCs w:val="21"/>
    </w:rPr>
  </w:style>
  <w:style w:type="character" w:customStyle="1" w:styleId="FloatTok">
    <w:name w:val="FloatTok"/>
    <w:basedOn w:val="VerbatimChar"/>
    <w:rPr>
      <w:rFonts w:ascii="Consolas" w:eastAsiaTheme="minorEastAsia" w:hAnsi="Consolas" w:cstheme="minorEastAsia"/>
      <w:color w:val="40A070"/>
      <w:sz w:val="22"/>
      <w:szCs w:val="21"/>
    </w:rPr>
  </w:style>
  <w:style w:type="character" w:customStyle="1" w:styleId="ConstantTok">
    <w:name w:val="ConstantTok"/>
    <w:basedOn w:val="VerbatimChar"/>
    <w:rPr>
      <w:rFonts w:ascii="Consolas" w:eastAsiaTheme="minorEastAsia" w:hAnsi="Consolas" w:cstheme="minorEastAsia"/>
      <w:color w:val="880000"/>
      <w:sz w:val="22"/>
      <w:szCs w:val="21"/>
    </w:rPr>
  </w:style>
  <w:style w:type="character" w:customStyle="1" w:styleId="CharTok">
    <w:name w:val="CharTok"/>
    <w:basedOn w:val="VerbatimChar"/>
    <w:rPr>
      <w:rFonts w:ascii="Consolas" w:eastAsiaTheme="minorEastAsia" w:hAnsi="Consolas" w:cstheme="minorEastAsia"/>
      <w:color w:val="4070A0"/>
      <w:sz w:val="22"/>
      <w:szCs w:val="21"/>
    </w:rPr>
  </w:style>
  <w:style w:type="character" w:customStyle="1" w:styleId="SpecialCharTok">
    <w:name w:val="SpecialCharTok"/>
    <w:basedOn w:val="VerbatimChar"/>
    <w:rPr>
      <w:rFonts w:ascii="Consolas" w:eastAsiaTheme="minorEastAsia" w:hAnsi="Consolas" w:cstheme="minorEastAsia"/>
      <w:color w:val="4070A0"/>
      <w:sz w:val="22"/>
      <w:szCs w:val="21"/>
    </w:rPr>
  </w:style>
  <w:style w:type="character" w:customStyle="1" w:styleId="StringTok">
    <w:name w:val="StringTok"/>
    <w:basedOn w:val="VerbatimChar"/>
    <w:rPr>
      <w:rFonts w:ascii="Consolas" w:eastAsiaTheme="minorEastAsia" w:hAnsi="Consolas" w:cstheme="minorEastAsia"/>
      <w:color w:val="4070A0"/>
      <w:sz w:val="22"/>
      <w:szCs w:val="21"/>
    </w:rPr>
  </w:style>
  <w:style w:type="character" w:customStyle="1" w:styleId="VerbatimStringTok">
    <w:name w:val="VerbatimStringTok"/>
    <w:basedOn w:val="VerbatimChar"/>
    <w:rPr>
      <w:rFonts w:ascii="Consolas" w:eastAsiaTheme="minorEastAsia" w:hAnsi="Consolas" w:cstheme="minorEastAsia"/>
      <w:color w:val="4070A0"/>
      <w:sz w:val="22"/>
      <w:szCs w:val="21"/>
    </w:rPr>
  </w:style>
  <w:style w:type="character" w:customStyle="1" w:styleId="SpecialStringTok">
    <w:name w:val="SpecialStringTok"/>
    <w:basedOn w:val="VerbatimChar"/>
    <w:rPr>
      <w:rFonts w:ascii="Consolas" w:eastAsiaTheme="minorEastAsia" w:hAnsi="Consolas" w:cstheme="minorEastAsia"/>
      <w:color w:val="BB6688"/>
      <w:sz w:val="22"/>
      <w:szCs w:val="21"/>
    </w:rPr>
  </w:style>
  <w:style w:type="character" w:customStyle="1" w:styleId="ImportTok">
    <w:name w:val="ImportTok"/>
    <w:basedOn w:val="VerbatimChar"/>
    <w:rPr>
      <w:rFonts w:ascii="Consolas" w:eastAsiaTheme="minorEastAsia" w:hAnsi="Consolas" w:cstheme="minorEastAsia"/>
      <w:color w:val="000000" w:themeColor="text1"/>
      <w:sz w:val="22"/>
      <w:szCs w:val="21"/>
    </w:rPr>
  </w:style>
  <w:style w:type="character" w:customStyle="1" w:styleId="CommentTok">
    <w:name w:val="CommentTok"/>
    <w:basedOn w:val="VerbatimChar"/>
    <w:rPr>
      <w:rFonts w:ascii="Consolas" w:eastAsiaTheme="minorEastAsia" w:hAnsi="Consolas" w:cstheme="minorEastAsia"/>
      <w:i/>
      <w:color w:val="60A0B0"/>
      <w:sz w:val="22"/>
      <w:szCs w:val="21"/>
    </w:rPr>
  </w:style>
  <w:style w:type="character" w:customStyle="1" w:styleId="DocumentationTok">
    <w:name w:val="DocumentationTok"/>
    <w:basedOn w:val="VerbatimChar"/>
    <w:rPr>
      <w:rFonts w:ascii="Consolas" w:eastAsiaTheme="minorEastAsia" w:hAnsi="Consolas" w:cstheme="minorEastAsia"/>
      <w:i/>
      <w:color w:val="BA2121"/>
      <w:sz w:val="22"/>
      <w:szCs w:val="21"/>
    </w:rPr>
  </w:style>
  <w:style w:type="character" w:customStyle="1" w:styleId="AnnotationTok">
    <w:name w:val="AnnotationTok"/>
    <w:basedOn w:val="VerbatimChar"/>
    <w:rPr>
      <w:rFonts w:ascii="Consolas" w:eastAsiaTheme="minorEastAsia" w:hAnsi="Consolas" w:cstheme="minorEastAsia"/>
      <w:b/>
      <w:i/>
      <w:color w:val="60A0B0"/>
      <w:sz w:val="22"/>
      <w:szCs w:val="21"/>
    </w:rPr>
  </w:style>
  <w:style w:type="character" w:customStyle="1" w:styleId="CommentVarTok">
    <w:name w:val="CommentVarTok"/>
    <w:basedOn w:val="VerbatimChar"/>
    <w:rPr>
      <w:rFonts w:ascii="Consolas" w:eastAsiaTheme="minorEastAsia" w:hAnsi="Consolas" w:cstheme="minorEastAsia"/>
      <w:b/>
      <w:i/>
      <w:color w:val="60A0B0"/>
      <w:sz w:val="22"/>
      <w:szCs w:val="21"/>
    </w:rPr>
  </w:style>
  <w:style w:type="character" w:customStyle="1" w:styleId="OtherTok">
    <w:name w:val="OtherTok"/>
    <w:basedOn w:val="VerbatimChar"/>
    <w:rPr>
      <w:rFonts w:ascii="Consolas" w:eastAsiaTheme="minorEastAsia" w:hAnsi="Consolas" w:cstheme="minorEastAsia"/>
      <w:color w:val="007020"/>
      <w:sz w:val="22"/>
      <w:szCs w:val="21"/>
    </w:rPr>
  </w:style>
  <w:style w:type="character" w:customStyle="1" w:styleId="FunctionTok">
    <w:name w:val="FunctionTok"/>
    <w:basedOn w:val="VerbatimChar"/>
    <w:rPr>
      <w:rFonts w:ascii="Consolas" w:eastAsiaTheme="minorEastAsia" w:hAnsi="Consolas" w:cstheme="minorEastAsia"/>
      <w:color w:val="06287E"/>
      <w:sz w:val="22"/>
      <w:szCs w:val="21"/>
    </w:rPr>
  </w:style>
  <w:style w:type="character" w:customStyle="1" w:styleId="VariableTok">
    <w:name w:val="VariableTok"/>
    <w:basedOn w:val="VerbatimChar"/>
    <w:rPr>
      <w:rFonts w:ascii="Consolas" w:eastAsiaTheme="minorEastAsia" w:hAnsi="Consolas" w:cstheme="minorEastAsia"/>
      <w:color w:val="19177C"/>
      <w:sz w:val="22"/>
      <w:szCs w:val="21"/>
    </w:rPr>
  </w:style>
  <w:style w:type="character" w:customStyle="1" w:styleId="ControlFlowTok">
    <w:name w:val="ControlFlowTok"/>
    <w:basedOn w:val="VerbatimChar"/>
    <w:rPr>
      <w:rFonts w:ascii="Consolas" w:eastAsiaTheme="minorEastAsia" w:hAnsi="Consolas" w:cstheme="minorEastAsia"/>
      <w:b/>
      <w:color w:val="007020"/>
      <w:sz w:val="22"/>
      <w:szCs w:val="21"/>
    </w:rPr>
  </w:style>
  <w:style w:type="character" w:customStyle="1" w:styleId="OperatorTok">
    <w:name w:val="OperatorTok"/>
    <w:basedOn w:val="VerbatimChar"/>
    <w:rPr>
      <w:rFonts w:ascii="Consolas" w:eastAsiaTheme="minorEastAsia" w:hAnsi="Consolas" w:cstheme="minorEastAsia"/>
      <w:color w:val="666666"/>
      <w:sz w:val="22"/>
      <w:szCs w:val="21"/>
    </w:rPr>
  </w:style>
  <w:style w:type="character" w:customStyle="1" w:styleId="BuiltInTok">
    <w:name w:val="BuiltInTok"/>
    <w:basedOn w:val="VerbatimChar"/>
    <w:rPr>
      <w:rFonts w:ascii="Consolas" w:eastAsiaTheme="minorEastAsia" w:hAnsi="Consolas" w:cstheme="minorEastAsia"/>
      <w:color w:val="000000" w:themeColor="text1"/>
      <w:sz w:val="22"/>
      <w:szCs w:val="21"/>
    </w:rPr>
  </w:style>
  <w:style w:type="character" w:customStyle="1" w:styleId="ExtensionTok">
    <w:name w:val="ExtensionTok"/>
    <w:basedOn w:val="VerbatimChar"/>
    <w:rPr>
      <w:rFonts w:ascii="Consolas" w:eastAsiaTheme="minorEastAsia" w:hAnsi="Consolas" w:cstheme="minorEastAsia"/>
      <w:color w:val="000000" w:themeColor="text1"/>
      <w:sz w:val="22"/>
      <w:szCs w:val="21"/>
    </w:rPr>
  </w:style>
  <w:style w:type="character" w:customStyle="1" w:styleId="PreprocessorTok">
    <w:name w:val="PreprocessorTok"/>
    <w:basedOn w:val="VerbatimChar"/>
    <w:rPr>
      <w:rFonts w:ascii="Consolas" w:eastAsiaTheme="minorEastAsia" w:hAnsi="Consolas" w:cstheme="minorEastAsia"/>
      <w:color w:val="BC7A00"/>
      <w:sz w:val="22"/>
      <w:szCs w:val="21"/>
    </w:rPr>
  </w:style>
  <w:style w:type="character" w:customStyle="1" w:styleId="AttributeTok">
    <w:name w:val="AttributeTok"/>
    <w:basedOn w:val="VerbatimChar"/>
    <w:rPr>
      <w:rFonts w:ascii="Consolas" w:eastAsiaTheme="minorEastAsia" w:hAnsi="Consolas" w:cstheme="minorEastAsia"/>
      <w:color w:val="7D9029"/>
      <w:sz w:val="22"/>
      <w:szCs w:val="21"/>
    </w:rPr>
  </w:style>
  <w:style w:type="character" w:customStyle="1" w:styleId="RegionMarkerTok">
    <w:name w:val="RegionMarkerTok"/>
    <w:basedOn w:val="VerbatimChar"/>
    <w:rPr>
      <w:rFonts w:ascii="Consolas" w:eastAsiaTheme="minorEastAsia" w:hAnsi="Consolas" w:cstheme="minorEastAsia"/>
      <w:color w:val="000000" w:themeColor="text1"/>
      <w:sz w:val="22"/>
      <w:szCs w:val="21"/>
    </w:rPr>
  </w:style>
  <w:style w:type="character" w:customStyle="1" w:styleId="InformationTok">
    <w:name w:val="InformationTok"/>
    <w:basedOn w:val="VerbatimChar"/>
    <w:rPr>
      <w:rFonts w:ascii="Consolas" w:eastAsiaTheme="minorEastAsia" w:hAnsi="Consolas" w:cstheme="minorEastAsia"/>
      <w:b/>
      <w:i/>
      <w:color w:val="60A0B0"/>
      <w:sz w:val="22"/>
      <w:szCs w:val="21"/>
    </w:rPr>
  </w:style>
  <w:style w:type="character" w:customStyle="1" w:styleId="WarningTok">
    <w:name w:val="WarningTok"/>
    <w:basedOn w:val="VerbatimChar"/>
    <w:rPr>
      <w:rFonts w:ascii="Consolas" w:eastAsiaTheme="minorEastAsia" w:hAnsi="Consolas" w:cstheme="minorEastAsia"/>
      <w:b/>
      <w:i/>
      <w:color w:val="60A0B0"/>
      <w:sz w:val="22"/>
      <w:szCs w:val="21"/>
    </w:rPr>
  </w:style>
  <w:style w:type="character" w:customStyle="1" w:styleId="AlertTok">
    <w:name w:val="AlertTok"/>
    <w:basedOn w:val="VerbatimChar"/>
    <w:rPr>
      <w:rFonts w:ascii="Consolas" w:eastAsiaTheme="minorEastAsia" w:hAnsi="Consolas" w:cstheme="minorEastAsia"/>
      <w:b/>
      <w:color w:val="FF0000"/>
      <w:sz w:val="22"/>
      <w:szCs w:val="21"/>
    </w:rPr>
  </w:style>
  <w:style w:type="character" w:customStyle="1" w:styleId="ErrorTok">
    <w:name w:val="ErrorTok"/>
    <w:basedOn w:val="VerbatimChar"/>
    <w:rPr>
      <w:rFonts w:ascii="Consolas" w:eastAsiaTheme="minorEastAsia" w:hAnsi="Consolas" w:cstheme="minorEastAsia"/>
      <w:b/>
      <w:color w:val="FF0000"/>
      <w:sz w:val="22"/>
      <w:szCs w:val="21"/>
    </w:rPr>
  </w:style>
  <w:style w:type="character" w:customStyle="1" w:styleId="NormalTok">
    <w:name w:val="NormalTok"/>
    <w:basedOn w:val="VerbatimChar"/>
    <w:rPr>
      <w:rFonts w:ascii="Consolas" w:eastAsiaTheme="minorEastAsia" w:hAnsi="Consolas" w:cstheme="minorEastAsia"/>
      <w:color w:val="000000" w:themeColor="text1"/>
      <w:sz w:val="22"/>
      <w:szCs w:val="21"/>
    </w:rPr>
  </w:style>
  <w:style w:type="paragraph" w:styleId="af">
    <w:name w:val="Balloon Text"/>
    <w:basedOn w:val="a"/>
    <w:link w:val="af0"/>
    <w:semiHidden/>
    <w:unhideWhenUsed/>
    <w:rsid w:val="008E156B"/>
    <w:pPr>
      <w:spacing w:after="0"/>
    </w:pPr>
    <w:rPr>
      <w:rFonts w:ascii="Microsoft YaHei UI" w:eastAsia="Microsoft YaHei UI"/>
      <w:sz w:val="18"/>
      <w:szCs w:val="18"/>
    </w:rPr>
  </w:style>
  <w:style w:type="character" w:customStyle="1" w:styleId="af0">
    <w:name w:val="批注框文本 字符"/>
    <w:basedOn w:val="a1"/>
    <w:link w:val="af"/>
    <w:semiHidden/>
    <w:rsid w:val="008E156B"/>
    <w:rPr>
      <w:rFonts w:ascii="Microsoft YaHei UI" w:eastAsia="Microsoft YaHei UI"/>
      <w:sz w:val="18"/>
      <w:szCs w:val="18"/>
    </w:rPr>
  </w:style>
  <w:style w:type="paragraph" w:customStyle="1" w:styleId="4">
    <w:name w:val="公文:4级标题"/>
    <w:basedOn w:val="FirstParagraph"/>
    <w:link w:val="41"/>
    <w:autoRedefine/>
    <w:rsid w:val="008E156B"/>
    <w:pPr>
      <w:numPr>
        <w:numId w:val="3"/>
      </w:numPr>
    </w:pPr>
    <w:rPr>
      <w:rFonts w:eastAsia="仿宋"/>
      <w:sz w:val="32"/>
    </w:rPr>
  </w:style>
  <w:style w:type="character" w:customStyle="1" w:styleId="a4">
    <w:name w:val="正文文本 字符"/>
    <w:basedOn w:val="a1"/>
    <w:link w:val="a0"/>
    <w:rsid w:val="00B97230"/>
    <w:rPr>
      <w:rFonts w:ascii="Times New Roman" w:eastAsiaTheme="minorEastAsia" w:hAnsi="Times New Roman"/>
    </w:rPr>
  </w:style>
  <w:style w:type="character" w:customStyle="1" w:styleId="FirstParagraph0">
    <w:name w:val="First Paragraph 字符"/>
    <w:basedOn w:val="a4"/>
    <w:link w:val="FirstParagraph"/>
    <w:rsid w:val="008E156B"/>
    <w:rPr>
      <w:rFonts w:ascii="Times New Roman" w:eastAsiaTheme="minorEastAsia" w:hAnsi="Times New Roman"/>
    </w:rPr>
  </w:style>
  <w:style w:type="character" w:customStyle="1" w:styleId="41">
    <w:name w:val="公文:4级标题 字符"/>
    <w:basedOn w:val="FirstParagraph0"/>
    <w:link w:val="4"/>
    <w:rsid w:val="008E156B"/>
    <w:rPr>
      <w:rFonts w:ascii="Times New Roman" w:eastAsia="仿宋" w:hAnsi="Times New Roman"/>
      <w:sz w:val="32"/>
    </w:rPr>
  </w:style>
  <w:style w:type="paragraph" w:customStyle="1" w:styleId="3">
    <w:name w:val="公文:3级标题"/>
    <w:basedOn w:val="FirstParagraph"/>
    <w:link w:val="31"/>
    <w:rsid w:val="008E156B"/>
    <w:pPr>
      <w:numPr>
        <w:numId w:val="4"/>
      </w:numPr>
    </w:pPr>
    <w:rPr>
      <w:rFonts w:eastAsia="仿宋"/>
      <w:sz w:val="32"/>
    </w:rPr>
  </w:style>
  <w:style w:type="character" w:customStyle="1" w:styleId="31">
    <w:name w:val="公文:3级标题 字符"/>
    <w:basedOn w:val="FirstParagraph0"/>
    <w:link w:val="3"/>
    <w:rsid w:val="008E156B"/>
    <w:rPr>
      <w:rFonts w:ascii="Times New Roman" w:eastAsia="仿宋" w:hAnsi="Times New Roman"/>
      <w:sz w:val="32"/>
    </w:rPr>
  </w:style>
  <w:style w:type="paragraph" w:customStyle="1" w:styleId="2">
    <w:name w:val="公文:2级标题"/>
    <w:basedOn w:val="FirstParagraph"/>
    <w:link w:val="21"/>
    <w:rsid w:val="008E156B"/>
    <w:pPr>
      <w:numPr>
        <w:numId w:val="5"/>
      </w:numPr>
    </w:pPr>
    <w:rPr>
      <w:rFonts w:eastAsia="楷体"/>
      <w:sz w:val="32"/>
    </w:rPr>
  </w:style>
  <w:style w:type="character" w:customStyle="1" w:styleId="21">
    <w:name w:val="公文:2级标题 字符"/>
    <w:basedOn w:val="FirstParagraph0"/>
    <w:link w:val="2"/>
    <w:rsid w:val="008E156B"/>
    <w:rPr>
      <w:rFonts w:ascii="Times New Roman" w:eastAsia="楷体" w:hAnsi="Times New Roman"/>
      <w:sz w:val="32"/>
    </w:rPr>
  </w:style>
  <w:style w:type="paragraph" w:customStyle="1" w:styleId="1">
    <w:name w:val="公文:1级标题"/>
    <w:basedOn w:val="FirstParagraph"/>
    <w:link w:val="11"/>
    <w:rsid w:val="008E156B"/>
    <w:pPr>
      <w:numPr>
        <w:numId w:val="6"/>
      </w:numPr>
    </w:pPr>
    <w:rPr>
      <w:rFonts w:eastAsia="黑体"/>
      <w:sz w:val="32"/>
    </w:rPr>
  </w:style>
  <w:style w:type="character" w:customStyle="1" w:styleId="11">
    <w:name w:val="公文:1级标题 字符"/>
    <w:basedOn w:val="FirstParagraph0"/>
    <w:link w:val="1"/>
    <w:rsid w:val="008E156B"/>
    <w:rPr>
      <w:rFonts w:ascii="Times New Roman" w:eastAsia="黑体" w:hAnsi="Times New Roman"/>
      <w:sz w:val="32"/>
    </w:rPr>
  </w:style>
  <w:style w:type="paragraph" w:customStyle="1" w:styleId="af1">
    <w:name w:val="公文:正文"/>
    <w:basedOn w:val="FirstParagraph"/>
    <w:link w:val="af2"/>
    <w:rsid w:val="008E156B"/>
    <w:rPr>
      <w:rFonts w:eastAsia="仿宋"/>
      <w:sz w:val="32"/>
    </w:rPr>
  </w:style>
  <w:style w:type="character" w:customStyle="1" w:styleId="af2">
    <w:name w:val="公文:正文 字符"/>
    <w:basedOn w:val="FirstParagraph0"/>
    <w:link w:val="af1"/>
    <w:rsid w:val="008E156B"/>
    <w:rPr>
      <w:rFonts w:ascii="Times New Roman" w:eastAsia="仿宋" w:hAnsi="Times New Roman"/>
      <w:sz w:val="32"/>
    </w:rPr>
  </w:style>
  <w:style w:type="paragraph" w:customStyle="1" w:styleId="af3">
    <w:name w:val="公文:黑体标题"/>
    <w:basedOn w:val="FirstParagraph"/>
    <w:link w:val="af4"/>
    <w:rsid w:val="008E156B"/>
    <w:pPr>
      <w:jc w:val="center"/>
    </w:pPr>
    <w:rPr>
      <w:rFonts w:eastAsia="黑体"/>
      <w:sz w:val="44"/>
    </w:rPr>
  </w:style>
  <w:style w:type="character" w:customStyle="1" w:styleId="af4">
    <w:name w:val="公文:黑体标题 字符"/>
    <w:basedOn w:val="FirstParagraph0"/>
    <w:link w:val="af3"/>
    <w:rsid w:val="008E156B"/>
    <w:rPr>
      <w:rFonts w:ascii="Times New Roman" w:eastAsia="黑体" w:hAnsi="Times New Roman"/>
      <w:sz w:val="44"/>
    </w:rPr>
  </w:style>
  <w:style w:type="paragraph" w:customStyle="1" w:styleId="af5">
    <w:name w:val="公文:小标宋标题"/>
    <w:basedOn w:val="FirstParagraph"/>
    <w:link w:val="af6"/>
    <w:autoRedefine/>
    <w:rsid w:val="008E156B"/>
    <w:pPr>
      <w:jc w:val="center"/>
    </w:pPr>
    <w:rPr>
      <w:rFonts w:eastAsia="方正小标宋_GBK"/>
      <w:sz w:val="44"/>
    </w:rPr>
  </w:style>
  <w:style w:type="character" w:customStyle="1" w:styleId="af6">
    <w:name w:val="公文:小标宋标题 字符"/>
    <w:basedOn w:val="FirstParagraph0"/>
    <w:link w:val="af5"/>
    <w:rsid w:val="008E156B"/>
    <w:rPr>
      <w:rFonts w:ascii="Times New Roman" w:eastAsia="方正小标宋_GBK" w:hAnsi="Times New Roman"/>
      <w:sz w:val="44"/>
    </w:rPr>
  </w:style>
  <w:style w:type="character" w:styleId="af7">
    <w:name w:val="Unresolved Mention"/>
    <w:basedOn w:val="a1"/>
    <w:uiPriority w:val="99"/>
    <w:semiHidden/>
    <w:unhideWhenUsed/>
    <w:rsid w:val="00FD50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egacy.dx.ai/tcga_breast/annotations.html" TargetMode="External"/><Relationship Id="rId12" Type="http://schemas.openxmlformats.org/officeDocument/2006/relationships/image" Target="media/image4.png"/><Relationship Id="rId17" Type="http://schemas.openxmlformats.org/officeDocument/2006/relationships/hyperlink" Target="https://github.com/Moo-YewTsing/Survival-Analysis-by-Breast-Cancer-Slides"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felines.readthedocs.io/en/latest/index.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2718</Words>
  <Characters>15498</Characters>
  <Application>Microsoft Office Word</Application>
  <DocSecurity>0</DocSecurity>
  <Lines>129</Lines>
  <Paragraphs>36</Paragraphs>
  <ScaleCrop>false</ScaleCrop>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幼清 穆</dc:creator>
  <cp:keywords/>
  <cp:lastModifiedBy>幼清 穆</cp:lastModifiedBy>
  <cp:revision>2</cp:revision>
  <dcterms:created xsi:type="dcterms:W3CDTF">2019-04-02T06:29:00Z</dcterms:created>
  <dcterms:modified xsi:type="dcterms:W3CDTF">2019-04-02T06:29:00Z</dcterms:modified>
</cp:coreProperties>
</file>