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100"/>
      </w:pPr>
      <w:r>
        <w:rPr>
          <w:b/>
        </w:rPr>
        <w:t>企业实践  Rust</w:t>
      </w:r>
    </w:p>
    <w:p>
      <w:pPr>
        <w:pStyle w:val="Title"/>
        <w:widowControl/>
        <w:spacing w:before="560"/>
      </w:pPr>
      <w:r>
        <w:t>Moonlight 课程实践报告</w:t>
      </w:r>
    </w:p>
    <w:p>
      <w:pPr>
        <w:widowControl/>
      </w:pPr>
      <w:r>
        <w:rPr>
          <w:b/>
        </w:rPr>
        <w:t>企业研发团队内部管理工具</w:t>
      </w:r>
    </w:p>
    <w:p>
      <w:pPr>
        <w:widowControl/>
      </w:pPr>
      <w:r>
        <w:rPr>
          <w:b w:val="0"/>
        </w:rPr>
        <w:t>Rust 核心逻辑与内嵌 Web 交互界面</w:t>
      </w:r>
    </w:p>
    <w:p>
      <w:pPr>
        <w:widowControl/>
      </w:pPr>
      <w:r>
        <w:rPr>
          <w:b w:val="0"/>
        </w:rPr>
      </w:r>
    </w:p>
    <w:p>
      <w:pPr>
        <w:widowControl/>
      </w:pPr>
      <w:r>
        <w:rPr>
          <w:b w:val="0"/>
        </w:rPr>
        <w:t>专业：计算机科学与技术    班级：6 班</w:t>
      </w:r>
    </w:p>
    <w:p>
      <w:pPr>
        <w:widowControl/>
      </w:pPr>
      <w:r>
        <w:rPr>
          <w:b w:val="0"/>
        </w:rPr>
        <w:t>小组成员：陈杰、郭景星、单婷婷、张轩玉</w:t>
      </w:r>
    </w:p>
    <w:p>
      <w:pPr>
        <w:widowControl/>
      </w:pPr>
      <w:r>
        <w:rPr>
          <w:b w:val="0"/>
        </w:rPr>
        <w:t>日期：2026 年 9 月 5 日</w:t>
      </w:r>
    </w:p>
    <w:p>
      <w:pPr>
        <w:widowControl/>
      </w:pPr>
      <w:r>
        <w:rPr>
          <w:b w:val="0"/>
        </w:rPr>
      </w:r>
    </w:p>
    <w:p>
      <w:pPr>
        <w:widowControl/>
      </w:pPr>
      <w:r>
        <w:rPr>
          <w:b w:val="0"/>
        </w:rPr>
        <w:t>本项目实现任务看板、成员负载、风险预警和基于成本与收益的派工建议。核心逻辑由 Rust 实现，前端以静态单页内嵌到程序中。</w:t>
      </w:r>
    </w:p>
    <w:p>
      <w:pPr>
        <w:widowControl/>
      </w:pPr>
      <w:r>
        <w:rPr>
          <w:b w:val="0"/>
        </w:rPr>
        <w:t>本次验收通过 37 项自动化测试，以及桌面拖拽、移动端状态修改和异常输入检查。报告中的图表来自同一份隔离演示数据和对应接口快照。</w:t>
      </w:r>
    </w:p>
    <w:p>
      <w:pPr>
        <w:widowControl/>
      </w:pPr>
      <w:r>
        <w:rPr>
          <w:b w:val="0"/>
        </w:rPr>
      </w:r>
    </w:p>
    <w:p>
      <w:pPr>
        <w:widowControl/>
      </w:pPr>
      <w:r>
        <w:rPr>
          <w:b w:val="0"/>
        </w:rPr>
        <w:t>验收代码：e31c812    数据日期：2026-09-05</w:t>
      </w:r>
    </w:p>
    <w:p>
      <w:pPr>
        <w:widowControl/>
      </w:pPr>
      <w:r>
        <w:rPr>
          <w:b w:val="0"/>
        </w:rPr>
        <w:t>复核材料：docs/evidence/2026-09-05/</w:t>
      </w:r>
    </w:p>
    <w:p>
      <w:pPr>
        <w:pStyle w:val="Heading1"/>
        <w:pageBreakBefore/>
        <w:widowControl/>
      </w:pPr>
      <w:r>
        <w:t>目录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1 项目概述</w:t>
      </w:r>
      <w:r>
        <w:rPr>
          <w:sz w:val="21"/>
        </w:rPr>
        <w:tab/>
        <w:t>3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2 需求分析</w:t>
      </w:r>
      <w:r>
        <w:rPr>
          <w:sz w:val="21"/>
        </w:rPr>
        <w:tab/>
        <w:t>3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3 系统环境与开发工具</w:t>
      </w:r>
      <w:r>
        <w:rPr>
          <w:sz w:val="21"/>
        </w:rPr>
        <w:tab/>
        <w:t>4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4 系统架构与模块设计</w:t>
      </w:r>
      <w:r>
        <w:rPr>
          <w:sz w:val="21"/>
        </w:rPr>
        <w:tab/>
        <w:t>4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4.2 模块职责</w:t>
      </w:r>
      <w:r>
        <w:rPr>
          <w:sz w:val="21"/>
        </w:rPr>
        <w:tab/>
        <w:t>5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5 工程管理层实现</w:t>
      </w:r>
      <w:r>
        <w:rPr>
          <w:sz w:val="21"/>
        </w:rPr>
        <w:tab/>
        <w:t>6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5.3 风险预警</w:t>
      </w:r>
      <w:r>
        <w:rPr>
          <w:sz w:val="21"/>
        </w:rPr>
        <w:tab/>
        <w:t>7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6 经济决策层实现</w:t>
      </w:r>
      <w:r>
        <w:rPr>
          <w:sz w:val="21"/>
        </w:rPr>
        <w:tab/>
        <w:t>8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6.2 净现值模型</w:t>
      </w:r>
      <w:r>
        <w:rPr>
          <w:sz w:val="21"/>
        </w:rPr>
        <w:tab/>
        <w:t>9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6.5 决策矩阵</w:t>
      </w:r>
      <w:r>
        <w:rPr>
          <w:sz w:val="21"/>
        </w:rPr>
        <w:tab/>
        <w:t>10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6.6 投资组合</w:t>
      </w:r>
      <w:r>
        <w:rPr>
          <w:sz w:val="21"/>
        </w:rPr>
        <w:tab/>
        <w:t>11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7 交互界面实现</w:t>
      </w:r>
      <w:r>
        <w:rPr>
          <w:sz w:val="21"/>
        </w:rPr>
        <w:tab/>
        <w:t>12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7.1 表单与移动端交互</w:t>
      </w:r>
      <w:r>
        <w:rPr>
          <w:sz w:val="21"/>
        </w:rPr>
        <w:tab/>
        <w:t>13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8 测试与验收</w:t>
      </w:r>
      <w:r>
        <w:rPr>
          <w:sz w:val="21"/>
        </w:rPr>
        <w:tab/>
        <w:t>14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8.3 API 联调与异常输入</w:t>
      </w:r>
      <w:r>
        <w:rPr>
          <w:sz w:val="21"/>
        </w:rPr>
        <w:tab/>
        <w:t>15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9 小组分工与协作</w:t>
      </w:r>
      <w:r>
        <w:rPr>
          <w:sz w:val="21"/>
        </w:rPr>
        <w:tab/>
        <w:t>16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9.3 前端与测试产物</w:t>
      </w:r>
      <w:r>
        <w:rPr>
          <w:sz w:val="21"/>
        </w:rPr>
        <w:tab/>
        <w:t>17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9.4 文档与可追溯记录</w:t>
      </w:r>
      <w:r>
        <w:rPr>
          <w:sz w:val="21"/>
        </w:rPr>
        <w:tab/>
        <w:t>18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10 局限与后续计划</w:t>
      </w:r>
      <w:r>
        <w:rPr>
          <w:sz w:val="21"/>
        </w:rPr>
        <w:tab/>
        <w:t>19</w:t>
      </w:r>
    </w:p>
    <w:p>
      <w:pPr>
        <w:widowControl/>
        <w:tabs>
          <w:tab w:pos="8901" w:val="right"/>
        </w:tabs>
        <w:spacing w:after="100"/>
      </w:pPr>
      <w:r>
        <w:rPr>
          <w:b w:val="0"/>
          <w:sz w:val="21"/>
        </w:rPr>
        <w:t>11 结论</w:t>
      </w:r>
      <w:r>
        <w:rPr>
          <w:sz w:val="21"/>
        </w:rPr>
        <w:tab/>
        <w:t>19</w:t>
      </w:r>
    </w:p>
    <w:p>
      <w:pPr>
        <w:widowControl/>
      </w:pPr>
      <w:r>
        <w:rPr>
          <w:b w:val="0"/>
        </w:rPr>
        <w:t>阅读说明：图中林洲、周舟、陆晚、何言、苏念为程序演示成员，与小组真实成员分开记录。金额为模型估算，不能视为企业实际收益。</w:t>
      </w:r>
    </w:p>
    <w:p>
      <w:pPr>
        <w:pStyle w:val="Heading1"/>
        <w:pageBreakBefore/>
        <w:widowControl/>
      </w:pPr>
      <w:r>
        <w:t>1 项目概述</w:t>
      </w:r>
    </w:p>
    <w:p>
      <w:pPr>
        <w:widowControl/>
      </w:pPr>
      <w:r>
        <w:rPr>
          <w:b w:val="0"/>
        </w:rPr>
        <w:t>Moonlight 面向研发团队的日常协作，用于集中管理任务状态、成员工时与经济决策依据。工程管理层展示“当前有哪些问题”，经济决策层在给定收益、工时和人员条件下比较“哪些方案更值得采用”。</w:t>
      </w:r>
    </w:p>
    <w:p>
      <w:pPr>
        <w:widowControl/>
      </w:pPr>
      <w:r>
        <w:rPr>
          <w:b w:val="0"/>
        </w:rPr>
        <w:t>任务看板覆盖待办、进行中、待评审与已完成四种状态。成员负载按跨学科折算工时统计，自动派工按 WSJF 处理未派工任务，再选择正净现值且产能可行的承接方案。系统提供解释性估算，不代替管理者判断。</w:t>
      </w:r>
    </w:p>
    <w:p>
      <w:pPr>
        <w:pStyle w:val="Heading1"/>
        <w:widowControl/>
      </w:pPr>
      <w:r>
        <w:t>2 需求分析</w:t>
      </w:r>
    </w:p>
    <w:p>
      <w:pPr>
        <w:pStyle w:val="Heading2"/>
        <w:widowControl/>
      </w:pPr>
      <w:r>
        <w:t>2.1 功能需求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7654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实现与验收重点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任务管理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创建、删除、状态流转、指派和取消负责人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团队资源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角色、周产能、小时成本、有效工时与过载提示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经济决策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跨学科成本、NPV、ROI、候选方案对比和投资组合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风险与健康度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逾期、临期、未派工、跨学科、过载与产能缺口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数据保存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JSON 持久化、损坏保护、编号修复、保存失败回滚</w:t>
            </w:r>
          </w:p>
        </w:tc>
      </w:tr>
    </w:tbl>
    <w:p>
      <w:pPr>
        <w:widowControl/>
        <w:spacing w:after="0"/>
      </w:pPr>
    </w:p>
    <w:p>
      <w:pPr>
        <w:pStyle w:val="Heading2"/>
        <w:widowControl/>
      </w:pPr>
      <w:r>
        <w:t>2.2 非功能需求</w:t>
      </w:r>
    </w:p>
    <w:p>
      <w:pPr>
        <w:widowControl/>
      </w:pPr>
      <w:r>
        <w:rPr>
          <w:b w:val="0"/>
        </w:rPr>
        <w:t>可运行性：构建后通过单二进制提供内嵌页面，默认监听 127.0.0.1:8088。健壮性：输入边界与真实日期校验；写请求落盘失败时不改变内存状态。可解释性：候选方案展示工时、投入、延期和净现值。</w:t>
      </w:r>
    </w:p>
    <w:p>
      <w:pPr>
        <w:widowControl/>
      </w:pPr>
      <w:r>
        <w:rPr>
          <w:b w:val="0"/>
        </w:rPr>
        <w:t>安全边界：HTTP 请求体上限为 1 MiB，设置 nosniff 和 CSP 响应头。当前未实现登录、角色授权与操作审计，适用于可信本地环境；这些响应头不能证明具备权限控制。</w:t>
      </w:r>
    </w:p>
    <w:p>
      <w:pPr>
        <w:pStyle w:val="Heading1"/>
        <w:pageBreakBefore/>
        <w:widowControl/>
      </w:pPr>
      <w:r>
        <w:t>3 系统环境与开发工具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7654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本次实际验证环境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操作系统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macOS 26.5.1 / arm64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Rust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rustc 1.98.0 (88d9e12ae 2026-08-18)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Cargo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cargo 1.98.0 (797e8a9bc 2026-08-05)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浏览器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Chromium / Chrome 152.0.7977.76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验证命令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fmt --check；clippy --all-targets -- -D warnings；test；build --release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开发时使用 Cargo 管理 serde 与 serde_json 依赖。运行时无需额外静态资源服务；“无外部资源”指前端资源已内嵌，不等于编译阶段没有依赖。</w:t>
      </w:r>
    </w:p>
    <w:p>
      <w:pPr>
        <w:pStyle w:val="Heading1"/>
        <w:widowControl/>
      </w:pPr>
      <w:r>
        <w:t>4 系统架构与模块设计</w:t>
      </w:r>
    </w:p>
    <w:p>
      <w:pPr>
        <w:pStyle w:val="Heading2"/>
        <w:widowControl/>
      </w:pPr>
      <w:r>
        <w:t>4.1 分层架构</w:t>
      </w:r>
    </w:p>
    <w:p>
      <w:pPr>
        <w:widowControl/>
      </w:pPr>
      <w:r>
        <w:rPr>
          <w:b w:val="0"/>
        </w:rPr>
        <w:t>Web 负责输入和渲染，HTTP/API 层负责解析与校验，Rust 领域层计算工时、派工、风险和经济指标，存储层负责 JSON 快照。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25350"/>
            <wp:docPr id="1" name="Picture 1" descr="图 4-1 系统分层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25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4-1 系统分层架构</w:t>
      </w:r>
    </w:p>
    <w:p>
      <w:pPr>
        <w:pStyle w:val="Heading2"/>
        <w:pageBreakBefore/>
        <w:widowControl/>
      </w:pPr>
      <w:r>
        <w:t>4.2 模块职责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src/model.rs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成员、任务、角色、优先级、状态与经济字段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src/economics.rs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有效工时、投入、NPV、WSJF、决策矩阵与组合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src/insight.rs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负载、派工、预警和健康度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src/store.rs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内存数据、JSON 持久化、损坏保护与编号修复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src/api.rs / http.rs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路由、输入校验、写事务和轻量 HTTP 服务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src/date.rs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真实日期校验与跳过周末的工作日换算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src/web/index.html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浅色单页界面、拖拽、表单、决策弹窗与移动端操作</w:t>
            </w:r>
          </w:p>
        </w:tc>
      </w:tr>
    </w:tbl>
    <w:p>
      <w:pPr>
        <w:widowControl/>
        <w:spacing w:after="0"/>
      </w:pPr>
    </w:p>
    <w:p>
      <w:pPr>
        <w:pStyle w:val="Heading2"/>
        <w:widowControl/>
      </w:pPr>
      <w:r>
        <w:t>4.3 领域模型设计</w:t>
      </w:r>
    </w:p>
    <w:p>
      <w:pPr>
        <w:widowControl/>
      </w:pPr>
      <w:r>
        <w:rPr>
          <w:b w:val="0"/>
        </w:rPr>
        <w:t>成员提供产能和成本条件；任务同时携带工时、截止日、收益与延期日损失。一个成员可以承担多个任务，任务也可以暂不分配负责人。删除成员不会删除任务。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801250"/>
            <wp:docPr id="2" name="Picture 2" descr="图 4-2 成员与任务的领域模型关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0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4-2 成员与任务的领域模型关系</w:t>
      </w:r>
    </w:p>
    <w:p>
      <w:pPr>
        <w:pStyle w:val="Heading1"/>
        <w:pageBreakBefore/>
        <w:widowControl/>
      </w:pPr>
      <w:r>
        <w:t>5 工程管理层实现</w:t>
      </w:r>
    </w:p>
    <w:p>
      <w:pPr>
        <w:pStyle w:val="Heading2"/>
        <w:widowControl/>
      </w:pPr>
      <w:r>
        <w:t>5.1 任务看板</w:t>
      </w:r>
    </w:p>
    <w:p>
      <w:pPr>
        <w:widowControl/>
      </w:pPr>
      <w:r>
        <w:rPr>
          <w:b w:val="0"/>
        </w:rPr>
        <w:t>本次演示包含 13 项任务：待办 10 项，其余三个状态各 1 项。图 5-1 展示基准工时；已完成任务仍展示在看板中，但不进入未完成任务负载。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38400" cy="2268000"/>
            <wp:docPr id="3" name="Picture 3" descr="图 5-1 任务数量与基准工时分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84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5-1 任务数量与基准工时分布</w:t>
      </w:r>
    </w:p>
    <w:p>
      <w:pPr>
        <w:pStyle w:val="Heading2"/>
        <w:widowControl/>
      </w:pPr>
      <w:r>
        <w:t>5.2 资源负载</w:t>
      </w:r>
    </w:p>
    <w:p>
      <w:pPr>
        <w:widowControl/>
      </w:pPr>
      <w:r>
        <w:rPr>
          <w:b w:val="0"/>
        </w:rPr>
        <w:t>负载使用有效工时，即基准工时乘学科系数，再在跨学科时加 2h 沟通。超过 85% 提示吃紧，超过 100% 提示过载。自动派工不会撤销原有指派，因此派工后仍需人工处理存量过载。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74736" cy="2268000"/>
            <wp:docPr id="4" name="Picture 4" descr="图 5-2 同一演示数据自动派工前后的成员负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loa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4736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5-2 同一演示数据自动派工前后的成员负载</w:t>
      </w:r>
    </w:p>
    <w:p>
      <w:pPr>
        <w:widowControl/>
      </w:pPr>
      <w:r>
        <w:rPr>
          <w:b w:val="0"/>
        </w:rPr>
        <w:t>派工后已分配有效工时为 145.6h，加上未派工文档任务最低 20h，总需求 165.6h；团队周产能为 134h，缺口 31.6h，按平均每人 26.8h 折算约 1.2 人周。</w:t>
      </w:r>
    </w:p>
    <w:p>
      <w:pPr>
        <w:pStyle w:val="Heading2"/>
        <w:pageBreakBefore/>
        <w:widowControl/>
      </w:pPr>
      <w:r>
        <w:t>5.3 风险预警</w:t>
      </w:r>
    </w:p>
    <w:p>
      <w:pPr>
        <w:widowControl/>
      </w:pPr>
      <w:r>
        <w:rPr>
          <w:b w:val="0"/>
        </w:rPr>
        <w:t>派工后接口返回 12 条预警。风险文字根据适用场景附延期损失、工时或投入估算；并非每一种预警都含金额。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7654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判定或计量口径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逾期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截止日早于采集日；自然日逾期天数 × 延期日损失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临期未开工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距截止日不超过 3 天且状态仍为待办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成员过载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有效工时 / 周产能 &gt; 100%；超出工时按 1.5 倍时薪估算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产能缺口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未完成任务需求超过团队总周产能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跨学科承接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展示相对同工时基准增加的人力成本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其他</w:t>
            </w:r>
          </w:p>
        </w:tc>
        <w:tc>
          <w:tcPr>
            <w:tcW w:type="dxa" w:w="76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P0 未派工、尚未估值、净现值倒挂及有待派工需求时的闲置</w:t>
            </w:r>
          </w:p>
        </w:tc>
      </w:tr>
    </w:tbl>
    <w:p>
      <w:pPr>
        <w:widowControl/>
        <w:spacing w:after="0"/>
      </w:pPr>
    </w:p>
    <w:p>
      <w:pPr>
        <w:pStyle w:val="Heading2"/>
        <w:widowControl/>
      </w:pPr>
      <w:r>
        <w:t>5.4 团队健康度</w:t>
      </w:r>
    </w:p>
    <w:p>
      <w:pPr>
        <w:widowControl/>
      </w:pPr>
      <w:r>
        <w:rPr>
          <w:b w:val="0"/>
        </w:rPr>
        <w:t>基础分由未逾期比例、负载均衡和派工覆盖率加权计算。均衡度为 1 减负载率标准差，限制在 0 到 1。这里的未逾期比例不是历史准时交付率。</w:t>
      </w:r>
    </w:p>
    <w:p>
      <w:pPr>
        <w:widowControl/>
        <w:jc w:val="center"/>
      </w:pPr>
      <m:oMath>
        <m:r>
          <m:t>H₀ = round[100 × (0.40T + 0.35B + 0.25C)]</m:t>
        </m:r>
      </m:oMath>
    </w:p>
    <w:p>
      <w:pPr>
        <w:widowControl/>
      </w:pPr>
      <w:r>
        <w:rPr>
          <w:b w:val="0"/>
        </w:rPr>
        <w:t>修复后增加风险约束：任一成员负载超过 100%，综合分最高为 74；超过 130%，最高为 59，并给出对应过载建议。这样可避免所有人一起过载仍被评价为“节奏稳健”。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93"/>
      </w:tblGrid>
      <w:tr>
        <w:trPr>
          <w:cantSplit/>
          <w:tblHeader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本次分项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数值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未逾期比例 T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11 / 12 = 91.67%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负载均衡 B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89.16%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派工覆盖 C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11 / 12 = 91.67%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基础分与约束后分数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基础分 91；存在成员过载，最终为 74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管理建议</w:t>
            </w:r>
          </w:p>
        </w:tc>
        <w:tc>
          <w:tcPr>
            <w:tcW w:type="dxa" w:w="62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存在成员过载，需减少在手任务或重新派工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权重和分数上限均为管理假设。健康度用于提醒和比较，不能证明排期没有风险；长期应用应结合历史交付记录与团队反馈校准。</w:t>
      </w:r>
    </w:p>
    <w:p>
      <w:pPr>
        <w:pStyle w:val="Heading1"/>
        <w:pageBreakBefore/>
        <w:widowControl/>
      </w:pPr>
      <w:r>
        <w:t>6 经济决策层实现</w:t>
      </w:r>
    </w:p>
    <w:p>
      <w:pPr>
        <w:pStyle w:val="Heading2"/>
        <w:widowControl/>
      </w:pPr>
      <w:r>
        <w:t>6.1 多学科成本模型</w:t>
      </w:r>
    </w:p>
    <w:p>
      <w:pPr>
        <w:widowControl/>
      </w:pPr>
      <w:r>
        <w:rPr>
          <w:b w:val="0"/>
        </w:rPr>
        <w:t>跨学科承接用固定工时系数表达学习、协作与沟通代价。系数定义于 discipline_factor；它们是课程演示参数，未通过企业历史数据拟合。图 6-1 完整列出五类角色之间的系数，包括测试与运维的 1.50。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5" name="Picture 5" descr="图 6-1 完整跨学科系数矩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effici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6-1 完整跨学科系数矩阵</w:t>
      </w:r>
    </w:p>
    <w:p>
      <w:pPr>
        <w:widowControl/>
        <w:jc w:val="center"/>
      </w:pPr>
      <m:oMath>
        <m:r>
          <m:t>有效工时 = 基准工时 × 学科系数 + 跨学科沟通工时</m:t>
        </m:r>
      </m:oMath>
    </w:p>
    <w:p>
      <w:pPr>
        <w:widowControl/>
      </w:pPr>
      <w:r>
        <w:rPr>
          <w:b w:val="0"/>
        </w:rPr>
        <w:t>同学科沟通附加为 0h，跨学科为 2h。例如陆晚以测试角色承接 9h 的前端任务，投入工时为 9 × 1.40 + 2 = 14.6h；再加两项各 10h 的本学科任务，合计 34.6h，占 28h 周产能的 123.57%。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参数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取值与含义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时薪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演示输入；用于估算人力投入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贴现率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年化 12%，日率用 12% / 365 近似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默认延期日损失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收益 × 2% × 权重；P0/P1/P2 权重为 1.5/1/0.5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覆盖规则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任务可以显式提供延期日损失；填 0 表示无损失</w:t>
            </w:r>
          </w:p>
        </w:tc>
      </w:tr>
    </w:tbl>
    <w:p>
      <w:pPr>
        <w:widowControl/>
        <w:spacing w:after="0"/>
      </w:pPr>
    </w:p>
    <w:p>
      <w:pPr>
        <w:pStyle w:val="Heading2"/>
        <w:pageBreakBefore/>
        <w:widowControl/>
      </w:pPr>
      <w:r>
        <w:t>6.2 净现值模型</w:t>
      </w:r>
    </w:p>
    <w:p>
      <w:pPr>
        <w:widowControl/>
      </w:pPr>
      <w:r>
        <w:rPr>
          <w:b w:val="0"/>
        </w:rPr>
        <w:t>模型将收益简化为在交付日一次实现，再减去延期损失和投入成本。预计完成日先把队列工时换算成工作日，并跳过周末；延期与贴现使用自然日。目前未处理法定节假日和分期现金流。</w:t>
      </w:r>
    </w:p>
    <w:p>
      <w:pPr>
        <w:widowControl/>
        <w:jc w:val="center"/>
      </w:pPr>
      <m:oMath>
        <m:r>
          <m:t>NPV = PV − 延期损失 − 总投入</m:t>
        </m:r>
      </m:oMath>
    </w:p>
    <w:p>
      <w:pPr>
        <w:widowControl/>
      </w:pPr>
      <w:r>
        <w:rPr>
          <w:b w:val="0"/>
        </w:rPr>
        <w:t>收益现值 PV = 预期收益除以 (1 + 0.12 / 365) 的等待自然日天数次幂。ROI = NPV / 总投入。“损失等值天数” = 总投入 / 延期日损失；分母为零时返回空值，它不代表现金流投资回收期。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消息推送重复投递修复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何言方案的复算过程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采集日 / 截止日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2026-09-05 / 2026-09-06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排队工时 / 本任务工时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14h / 8h；每日容量 = 24 / 5 = 4.8h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完成日期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向上取整 22 / 4.8 = 5 个工作日，完成日为 2026-09-11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收益现值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32,000 / (1 + 0.12 / 365) 的 6 次幂 = 31,936.95 元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延期损失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5 天 × 960 元/天 = 4,800 元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总投入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8h × 380 元/h = 3,040 元；未新增加班溢价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净现值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31,936.95 − 4,800 − 3,040 = 24,096.95 元</w:t>
            </w:r>
          </w:p>
        </w:tc>
      </w:tr>
    </w:tbl>
    <w:p>
      <w:pPr>
        <w:widowControl/>
        <w:spacing w:after="0"/>
      </w:pPr>
    </w:p>
    <w:p>
      <w:pPr>
        <w:pStyle w:val="Heading2"/>
        <w:widowControl/>
      </w:pPr>
      <w:r>
        <w:t>6.3 边际成本与产能约束</w:t>
      </w:r>
    </w:p>
    <w:p>
      <w:pPr>
        <w:widowControl/>
      </w:pPr>
      <w:r>
        <w:rPr>
          <w:b w:val="0"/>
        </w:rPr>
        <w:t>超过周产能的工时追加 50% 溢价，超过 120% 的部分再追加 150%。新增任务只承担“接单后累计溢价减接单前累计溢价”，避免把已排队任务的溢价重复计入新方案。候选方案接单后负载超过 130% 时判为不可行。</w:t>
      </w:r>
    </w:p>
    <w:p>
      <w:pPr>
        <w:pStyle w:val="Heading2"/>
        <w:widowControl/>
      </w:pPr>
      <w:r>
        <w:t>6.4 WSJF 排序</w:t>
      </w:r>
    </w:p>
    <w:p>
      <w:pPr>
        <w:widowControl/>
      </w:pPr>
      <w:r>
        <w:rPr>
          <w:b w:val="0"/>
        </w:rPr>
        <w:t>WSJF = 延期日损失 / max(基准工时, 0.5)。自动派工按该值降序处理未派工任务；默认延期日损失仍受 P0/P1/P2 影响，因此并未完全取代优先级。未估值、净现值不为正或没有产能可行方案的任务保留为未派工。</w:t>
      </w:r>
    </w:p>
    <w:p>
      <w:pPr>
        <w:pStyle w:val="Heading2"/>
        <w:pageBreakBefore/>
        <w:widowControl/>
      </w:pPr>
      <w:r>
        <w:t>6.5 决策矩阵</w:t>
      </w:r>
    </w:p>
    <w:p>
      <w:pPr>
        <w:widowControl/>
      </w:pPr>
      <w:r>
        <w:rPr>
          <w:b w:val="0"/>
        </w:rPr>
        <w:t>决策矩阵为同一任务比较所有成员方案，先区分可行性，再按净现值排序。本次“消息推送重复投递修复”中，何言是唯一的产能可行方案；其他成员在承接该任务后会超过 130% 上限。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90769" cy="2628000"/>
            <wp:docPr id="6" name="Picture 6" descr="图 6-2 派工候选方案的净现值与接单后负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-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0769" cy="26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6-2 派工候选方案的净现值与接单后负载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701"/>
        <w:gridCol w:w="2268"/>
        <w:gridCol w:w="1134"/>
        <w:gridCol w:w="317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总投入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预计完成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负载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NPV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何言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¥3,040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2026-09-11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92%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¥24,097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林洲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¥11,232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2026-09-15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140%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¥12,023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周舟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¥12,578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2026-09-16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145%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¥9,707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陆晚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¥13,068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2026-09-17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171%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¥8,246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苏念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¥18,832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2026-09-18</w:t>
            </w:r>
          </w:p>
        </w:tc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182%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¥1,511</w:t>
            </w:r>
          </w:p>
        </w:tc>
      </w:tr>
    </w:tbl>
    <w:p>
      <w:pPr>
        <w:widowControl/>
        <w:spacing w:after="0"/>
      </w:pP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1775478"/>
            <wp:docPr id="7" name="Picture 7" descr="图 6-3 当前版本真实决策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eci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77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6-3 当前版本真实决策弹窗</w:t>
      </w:r>
    </w:p>
    <w:p>
      <w:pPr>
        <w:widowControl/>
      </w:pPr>
      <w:r>
        <w:rPr>
          <w:b w:val="0"/>
        </w:rPr>
        <w:t>表中的不可行方案用于比较代价，不代表系统建议采用。推荐只在当前数据与模型约束内成立，不保证现实中的收益一定兑现。</w:t>
      </w:r>
    </w:p>
    <w:p>
      <w:pPr>
        <w:pStyle w:val="Heading2"/>
        <w:pageBreakBefore/>
        <w:widowControl/>
      </w:pPr>
      <w:r>
        <w:t>6.6 投资组合</w:t>
      </w:r>
    </w:p>
    <w:p>
      <w:pPr>
        <w:widowControl/>
      </w:pPr>
      <w:r>
        <w:rPr>
          <w:b w:val="0"/>
        </w:rPr>
        <w:t>以团队周产能作为预算，按单位工时净现值贪心选择。计算过程累计成员负载并重新估算成本；已派工任务沿用负责人，不自动重分配存量任务。未纳入任务可能因产能不足、无可行承接人或净现值不为正而暂缓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71150"/>
            <wp:docPr id="8" name="Picture 8" descr="图 6-4 本周投资组合取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71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6-4 本周投资组合取舍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本次结果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产能使用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132.8h / 134h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组合投入 / 组合净现值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¥63,168 / ¥123,484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组合 ROI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195.5%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暂缓任务数 / 延期损失估算</w:t>
            </w:r>
          </w:p>
        </w:tc>
        <w:tc>
          <w:tcPr>
            <w:tcW w:type="dxa" w:w="65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2 项 / ¥1,200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这是启发式建议，未求解全局最优，也未完整建模任务依赖。暂缓损失按延期日损失乘 5 估算；组合与在手总览采用不同选择范围，不能把二者金额混为同一预算。</w:t>
      </w:r>
    </w:p>
    <w:p>
      <w:pPr>
        <w:pStyle w:val="Heading1"/>
        <w:pageBreakBefore/>
        <w:widowControl/>
      </w:pPr>
      <w:r>
        <w:t>7 交互界面实现</w:t>
      </w:r>
    </w:p>
    <w:p>
      <w:pPr>
        <w:widowControl/>
      </w:pPr>
      <w:r>
        <w:rPr>
          <w:b w:val="0"/>
        </w:rPr>
        <w:t>当前界面为浅色主题。左侧管理成员和负载，中间为四列看板，右侧展示经济决策与风险。顶栏显示健康度、投入、收益、净现值与 ROI。截图截取 1920 × 1080 视口，超出视口的任务继续向下滚动查看。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61500"/>
            <wp:docPr id="9" name="Picture 9" descr="图 7-1 自动派工后的当前版本主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6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7-1 自动派工后的当前版本主界面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在手经济总览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值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投入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¥95,845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预期收益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¥224,000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净现值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¥103,325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ROI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107.8%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沉没延期损失 / 跨学科溢价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¥560 / ¥12,338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以上为 2026-09-05 默认数据执行一次自动派工后的快照。总览按任务在当前队列下分别估算，属于情景分析汇总，不是企业实际结算成本；收益数值由演示数据给定。</w:t>
      </w:r>
    </w:p>
    <w:p>
      <w:pPr>
        <w:pStyle w:val="Heading2"/>
        <w:pageBreakBefore/>
        <w:widowControl/>
      </w:pPr>
      <w:r>
        <w:t>7.1 表单与移动端交互</w:t>
      </w:r>
    </w:p>
    <w:p>
      <w:pPr>
        <w:widowControl/>
      </w:pPr>
      <w:r>
        <w:rPr>
          <w:b w:val="0"/>
        </w:rPr>
        <w:t>新建任务表单收集学科、优先级、工时、截止日期、收益和负责人。窄屏下看板改为单列，每张卡片提供状态下拉框。验收以 390 × 844 视口修改任务状态，并通过接口确认保存生效。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2951999" cy="33062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30623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232000" cy="48302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ob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3027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pStyle w:val="Caption"/>
        <w:widowControl/>
        <w:jc w:val="center"/>
      </w:pPr>
      <w:r>
        <w:t>图 7-2 新建任务表单（左）与移动端状态修改（右）</w:t>
      </w:r>
    </w:p>
    <w:p>
      <w:pPr>
        <w:widowControl/>
      </w:pPr>
      <w:r>
        <w:rPr>
          <w:b w:val="0"/>
        </w:rPr>
        <w:t>桌面端已验证从卡片标题拖拽到“进行中”列，状态更新后通过 API 复核；移动端使用下拉框完成同一类操作。决策弹窗只允许选择产能可行行，表格较宽时在内部横向滚动。</w:t>
      </w:r>
    </w:p>
    <w:p>
      <w:pPr>
        <w:widowControl/>
      </w:pPr>
      <w:r>
        <w:rPr>
          <w:b w:val="0"/>
        </w:rPr>
        <w:t>桌面和移动端验收结束后均恢复隔离演示数据的任务状态，统计图继续使用派工后的统一快照。</w:t>
      </w:r>
    </w:p>
    <w:p>
      <w:pPr>
        <w:pStyle w:val="Heading1"/>
        <w:pageBreakBefore/>
        <w:widowControl/>
      </w:pPr>
      <w:r>
        <w:t>8 测试与验收</w:t>
      </w:r>
    </w:p>
    <w:p>
      <w:pPr>
        <w:pStyle w:val="Heading2"/>
        <w:widowControl/>
      </w:pPr>
      <w:r>
        <w:t>8.1 代码质量与构建</w:t>
      </w:r>
    </w:p>
    <w:p>
      <w:pPr>
        <w:widowControl/>
      </w:pPr>
      <w:r>
        <w:rPr>
          <w:b w:val="0"/>
        </w:rPr>
        <w:t>在本次 macOS / arm64 环境依次执行格式检查、静态分析、测试和 Release 构建，均正常退出。完整输出保存在 checks.txt 与 checks.json。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69000"/>
            <wp:docPr id="12" name="Picture 12" descr="图 8-1 真实命令执行日志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6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8-1 真实命令执行日志视图</w:t>
      </w:r>
    </w:p>
    <w:p>
      <w:pPr>
        <w:pStyle w:val="Heading2"/>
        <w:widowControl/>
      </w:pPr>
      <w:r>
        <w:t>8.2 自动化测试</w:t>
      </w:r>
    </w:p>
    <w:p>
      <w:pPr>
        <w:widowControl/>
      </w:pPr>
      <w:r>
        <w:rPr>
          <w:b w:val="0"/>
        </w:rPr>
        <w:t>本次共 37 项测试通过。新增与本报告问题对应的回归项包括：均匀过载不能获得健康评价、未估值和负净现值任务不自动分配、工作日交付跳过周末；同时保留落盘失败回滚、边际加班溢价、组合累计成员负载、显式零延期损失等测试。</w:t>
      </w:r>
    </w:p>
    <w:p>
      <w:pPr>
        <w:widowControl/>
      </w:pPr>
      <w:r>
        <w:rPr>
          <w:b w:val="0"/>
        </w:rPr>
        <w:t>测试通过说明已覆盖场景符合断言，不代表完成企业级安全审计或所有输入组合验证。Release 二进制为当前平台产物，文件大小与编译目标和工具链相关。</w:t>
      </w:r>
    </w:p>
    <w:p>
      <w:pPr>
        <w:pStyle w:val="Heading2"/>
        <w:pageBreakBefore/>
        <w:widowControl/>
      </w:pPr>
      <w:r>
        <w:t>8.3 API 联调与异常输入</w:t>
      </w:r>
    </w:p>
    <w:p>
      <w:pPr>
        <w:widowControl/>
      </w:pPr>
      <w:r>
        <w:rPr>
          <w:b w:val="0"/>
        </w:rPr>
        <w:t>GET /api/state 返回成员、任务、负载、预警、健康度和经济总览；GET /api/tasks/4/decision 返回决策矩阵；POST /api/auto-assign 完成自动派工。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25533"/>
            <wp:docPr id="13" name="Picture 13" descr="图 8-2 四类非法输入的实际请求与 HTTP 400 返回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8-2 四类非法输入的实际请求与 HTTP 400 返回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实际结果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空标题、负工时、非法日期、不存在负责人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四项均返回 HTTP 400，未增加任务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桌面拖拽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任务状态写入服务端并复核通过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移动端操作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状态下拉框可用，未出现页面横向溢出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页面脚本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未捕获到 pageerror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数据隔离</w:t>
            </w:r>
          </w:p>
        </w:tc>
        <w:tc>
          <w:tcPr>
            <w:tcW w:type="dxa" w:w="60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启动时指定临时数据路径，未使用现有团队数据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持久化失败场景由自动化测试模拟不可写路径：接口返回 500，原内存状态不变；恢复目录后再次写入成功。该场景不在真实团队数据目录上执行。</w:t>
      </w:r>
    </w:p>
    <w:p>
      <w:pPr>
        <w:pStyle w:val="Heading1"/>
        <w:pageBreakBefore/>
        <w:widowControl/>
      </w:pPr>
      <w:r>
        <w:t>9 小组分工与协作</w:t>
      </w:r>
    </w:p>
    <w:p>
      <w:pPr>
        <w:pStyle w:val="Heading2"/>
        <w:widowControl/>
      </w:pPr>
      <w:r>
        <w:t>9.1 成员与职责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082"/>
        <w:gridCol w:w="3969"/>
      </w:tblGrid>
      <w:tr>
        <w:trPr>
          <w:cantSplit/>
          <w:tblHeader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项目分工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对应模块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陈杰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领域模型、经济算法、存储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model.rs / economics.rs / store.rs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郭景星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前端与交互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src/web/index.html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单婷婷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测试与质量验证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各模块测试、接口与交互验收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张轩玉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需求与文档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README.md / 课程实践报告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分工描述对应小组协作职责；下列源码节选用于说明工程产物。具体个人提交范围应结合仓库账号和提交记录确认，不能仅由文件截图推断作者。</w:t>
      </w:r>
    </w:p>
    <w:p>
      <w:pPr>
        <w:pStyle w:val="Heading2"/>
        <w:widowControl/>
      </w:pPr>
      <w:r>
        <w:t>9.2 Rust 核心产物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48251"/>
            <wp:docPr id="14" name="Picture 14" descr="图 9-1 当前有效工时与延期日损失计算源码节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economic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48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9-1 当前有效工时与延期日损失计算源码节选</w:t>
      </w:r>
    </w:p>
    <w:p>
      <w:pPr>
        <w:pStyle w:val="Heading2"/>
        <w:pageBreakBefore/>
        <w:widowControl/>
      </w:pPr>
      <w:r>
        <w:t>9.3 前端与测试产物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192891"/>
            <wp:docPr id="15" name="Picture 15" descr="图 9-2 当前看板拖拽事件与状态更新源码节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we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9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9-2 当前看板拖拽事件与状态更新源码节选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939772" cy="4139999"/>
            <wp:docPr id="16" name="Picture 16" descr="图 9-3 全员过载健康度回归测试源码节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tes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9772" cy="41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9-3 全员过载健康度回归测试源码节选</w:t>
      </w:r>
    </w:p>
    <w:p>
      <w:pPr>
        <w:widowControl/>
      </w:pPr>
      <w:r>
        <w:rPr>
          <w:b w:val="0"/>
        </w:rPr>
        <w:t>图 9-2 对应真实交互绑定，图 9-3 对应新增回归断言；测试执行是否通过以第 8 章命令日志为准。</w:t>
      </w:r>
    </w:p>
    <w:p>
      <w:pPr>
        <w:pStyle w:val="Heading2"/>
        <w:pageBreakBefore/>
        <w:widowControl/>
      </w:pPr>
      <w:r>
        <w:t>9.4 文档与可追溯记录</w:t>
      </w:r>
    </w:p>
    <w:p>
      <w:pPr>
        <w:keepNext/>
        <w:widowControl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697737"/>
            <wp:docPr id="17" name="Picture 17" descr="图 9-4 README 中的参数口径与模型假设节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readm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69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图 9-4 README 中的参数口径与模型假设节选</w:t>
      </w:r>
    </w:p>
    <w:p>
      <w:pPr>
        <w:widowControl/>
      </w:pPr>
      <w:r>
        <w:rPr>
          <w:b w:val="0"/>
        </w:rPr>
        <w:t>Git 历史包含功能实现、经济决策更新、合并评审和界面风格调整。以下为本地仓库可核验记录，账号与小组真实姓名不作自动映射。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60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提交或记录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账号与内容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a8430cc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Kiyra：研发团队协作台初始实现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e8ba960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Apson-Chian：完善课程要求与经济决策支持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dee24f2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Kiyra：增加经济决策层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PR #1 / 55181b9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原仓库已合并的课程与经济决策更新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d305a30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Kiyra：界面改为浅色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e31c812</w:t>
            </w:r>
          </w:p>
        </w:tc>
        <w:tc>
          <w:tcPr>
            <w:tcW w:type="dxa" w:w="68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本次模型边界、持久化与验收口径修复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原 PR： https://github.com/Kiyra-gjx/moonlight/pull/1</w:t>
      </w:r>
    </w:p>
    <w:p>
      <w:pPr>
        <w:widowControl/>
      </w:pPr>
      <w:r>
        <w:rPr>
          <w:b w:val="0"/>
        </w:rPr>
        <w:t>协作采用分工实现、代码提交、质量检查和集成验收。后续以实际发生的提交、评审和会议记录补充协作过程，不用代码截图代替个人贡献证明。</w:t>
      </w:r>
    </w:p>
    <w:p>
      <w:pPr>
        <w:pStyle w:val="Heading1"/>
        <w:pageBreakBefore/>
        <w:widowControl/>
      </w:pPr>
      <w:r>
        <w:t>10 局限与后续计划</w:t>
      </w:r>
    </w:p>
    <w:p>
      <w:pPr>
        <w:widowControl/>
      </w:pPr>
      <w:r>
        <w:rPr>
          <w:b w:val="0"/>
        </w:rPr>
        <w:t>当前版本定位为课程实践 MVP。JSON 存储适合单实例本地运行，不支持多实例并发写入；尚未实现身份认证、细粒度授权和操作审计。若扩展到生产环境，应补充数据库、访问控制、备份恢复与并发测试。</w:t>
      </w:r>
    </w:p>
    <w:p>
      <w:pPr>
        <w:widowControl/>
      </w:pPr>
      <w:r>
        <w:rPr>
          <w:b w:val="0"/>
        </w:rPr>
        <w:t>经济参数属于管理假设，收益和工时由用户估计。当前收益按交付日一次实现，未处理分期现金流；工作日只排除周末，不含节假日；未完整建模任务依赖、历史完成情况和工作剩余量。后续应利用真实工时与交付记录校准。</w:t>
      </w:r>
    </w:p>
    <w:p>
      <w:pPr>
        <w:widowControl/>
      </w:pPr>
      <w:r>
        <w:rPr>
          <w:b w:val="0"/>
        </w:rPr>
        <w:t>健康度已增加过载上限，但其权重和分数阈值仍需验证。投资组合采用贪心选择，不保证全局最优；在手总览是独立情景估算汇总，不能直接当作会计结算或完整项目预算。</w:t>
      </w:r>
    </w:p>
    <w:p>
      <w:pPr>
        <w:pStyle w:val="Heading1"/>
        <w:widowControl/>
      </w:pPr>
      <w:r>
        <w:t>11 结论</w:t>
      </w:r>
    </w:p>
    <w:p>
      <w:pPr>
        <w:widowControl/>
      </w:pPr>
      <w:r>
        <w:rPr>
          <w:b w:val="0"/>
        </w:rPr>
        <w:t>本项目以 Rust 实现领域模型、存储、HTTP 服务和主要决策逻辑，通过内嵌 Web 页面提供任务管理与可视化交互，满足课程关于核心语言和交互界面的要求。</w:t>
      </w:r>
    </w:p>
    <w:p>
      <w:pPr>
        <w:widowControl/>
      </w:pPr>
      <w:r>
        <w:rPr>
          <w:b w:val="0"/>
        </w:rPr>
        <w:t>本次统一了源码、演示数据、图表和验收日志，补充完整学科系数、NPV 算例、领域关系图与交互验证，修复保存失败一致性、加班成本边界、过载健康度和派工估值判断。37 项自动化测试及桌面、移动端、异常输入验收通过，形成可运行、可解释、可复核的课程交付。</w:t>
      </w:r>
    </w:p>
    <w:p>
      <w:pPr>
        <w:pStyle w:val="Heading2"/>
        <w:widowControl/>
      </w:pPr>
      <w:r>
        <w:t>复核材料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6690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材料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b/>
                <w:sz w:val="19"/>
              </w:rPr>
              <w:t>仓库位置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代码版本与哈希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e31c812；evidence/2026-09-05/source-sha256.txt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派工前后数据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state-before.json / state-after.json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候选方案与保存数据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decision.json / demo-after.json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命令执行结果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checks.txt / checks.json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API 与交互验证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api-tests.json / ui-tests.json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图表与截图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sz w:val="19"/>
              </w:rPr>
              <w:t>docs/evidence/2026-09-05/*.png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b w:val="0"/>
        </w:rPr>
        <w:t>复现时使用新的临时数据文件启动服务，先保存初始快照，再执行一次自动派工。跨日期运行会改变延期与净现值，应以新的采集日期和结果更新报告。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" w:hAnsi="Arial" w:eastAsia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60"/>
      <w:outlineLvl w:val="0"/>
    </w:pPr>
    <w:rPr>
      <w:rFonts w:asciiTheme="majorHAnsi" w:eastAsiaTheme="majorEastAsia" w:hAnsiTheme="majorHAnsi" w:cstheme="majorBidi" w:ascii="Arial" w:hAnsi="Arial" w:eastAsia="Songti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60"/>
      <w:outlineLvl w:val="1"/>
    </w:pPr>
    <w:rPr>
      <w:rFonts w:asciiTheme="majorHAnsi" w:eastAsiaTheme="majorEastAsia" w:hAnsiTheme="majorHAnsi" w:cstheme="majorBidi" w:ascii="Arial" w:hAnsi="Arial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60"/>
      <w:outlineLvl w:val="2"/>
    </w:pPr>
    <w:rPr>
      <w:rFonts w:asciiTheme="majorHAnsi" w:eastAsiaTheme="majorEastAsia" w:hAnsiTheme="majorHAnsi" w:cstheme="majorBidi" w:ascii="Arial" w:hAnsi="Arial" w:eastAsia="Songti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180"/>
      <w:contextualSpacing/>
    </w:pPr>
    <w:rPr>
      <w:rFonts w:asciiTheme="majorHAnsi" w:eastAsiaTheme="majorEastAsia" w:hAnsiTheme="majorHAnsi" w:cstheme="majorBidi" w:ascii="Arial" w:hAnsi="Arial" w:eastAsia="Songti SC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 w:eastAsia="Song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/>
    </w:pPr>
    <w:rPr>
      <w:rFonts w:ascii="Arial" w:hAnsi="Arial" w:eastAsia="Songti SC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80"/>
    </w:pPr>
    <w:rPr>
      <w:rFonts w:ascii="Arial" w:hAnsi="Arial" w:eastAsia="Songti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Moonlight 课程实践报告</dc:title>
  <dc:subject>Rust 企业实践课程</dc:subject>
  <dc:creator>陈杰、郭景星、单婷婷、张轩玉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