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Arial Unicode MS" w:hAnsi="Arial Unicode MS" w:eastAsia="Arial Unicode MS"/>
          <w:b/>
          <w:color w:val="2E74B5"/>
          <w:sz w:val="22"/>
        </w:rPr>
        <w:t>课程实践报告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1F4D78"/>
          <w:sz w:val="60"/>
        </w:rPr>
        <w:t>Moonlight</w:t>
      </w:r>
    </w:p>
    <w:p>
      <w:pPr>
        <w:spacing w:after="680"/>
        <w:jc w:val="center"/>
      </w:pPr>
      <w:r>
        <w:rPr>
          <w:rFonts w:ascii="Arial Unicode MS" w:hAnsi="Arial Unicode MS" w:eastAsia="Arial Unicode MS"/>
          <w:color w:val="2E74B5"/>
          <w:sz w:val="32"/>
        </w:rPr>
        <w:t>企业研发团队内部管理工具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667085"/>
          <w:sz w:val="22"/>
        </w:rPr>
        <w:t>课程：企业实践 Rust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667085"/>
          <w:sz w:val="22"/>
        </w:rPr>
        <w:t>小组：__________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667085"/>
          <w:sz w:val="22"/>
        </w:rPr>
        <w:t>成员：__________  __________  __________  __________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667085"/>
          <w:sz w:val="22"/>
        </w:rPr>
        <w:t>日期：2026 年 9 月</w:t>
      </w:r>
    </w:p>
    <w:p>
      <w:r>
        <w:br w:type="page"/>
      </w:r>
    </w:p>
    <w:p>
      <w:pPr>
        <w:pStyle w:val="Heading1"/>
      </w:pPr>
      <w:r>
        <w:t>1  项目概述</w:t>
      </w:r>
    </w:p>
    <w:p>
      <w:r>
        <w:rPr>
          <w:rFonts w:ascii="Arial Unicode MS" w:hAnsi="Arial Unicode MS" w:eastAsia="Arial Unicode MS"/>
          <w:color w:val="1F2937"/>
          <w:sz w:val="22"/>
        </w:rPr>
        <w:t>Moonlight 是面向企业研发团队的轻量级内部管理工具。系统通过任务看板展示进度，结合成员技能、周容量、小时成本、任务工时、优先级、截止日期和业务价值，完成负载分析、智能派工、风险预警与经济性分析。</w:t>
      </w:r>
    </w:p>
    <w:p>
      <w:r>
        <w:rPr>
          <w:rFonts w:ascii="Arial Unicode MS" w:hAnsi="Arial Unicode MS" w:eastAsia="Arial Unicode MS"/>
          <w:color w:val="1F2937"/>
          <w:sz w:val="22"/>
        </w:rPr>
        <w:t>项目的核心业务逻辑、存储和 HTTP 服务由 Rust 实现，用户通过内嵌的 Web 单页界面交互。编译后只需一个二进制文件，适合中小型团队内网演示和低成本部署。</w:t>
      </w:r>
    </w:p>
    <w:p>
      <w:pPr>
        <w:shd w:fill="EAF2F8"/>
        <w:spacing w:before="120" w:after="160"/>
        <w:ind w:left="173" w:right="173"/>
      </w:pPr>
      <w:r>
        <w:rPr>
          <w:rFonts w:ascii="Arial Unicode MS" w:hAnsi="Arial Unicode MS" w:eastAsia="Arial Unicode MS"/>
          <w:b/>
          <w:color w:val="1F4D78"/>
          <w:sz w:val="22"/>
        </w:rPr>
        <w:t xml:space="preserve">要求对应  </w:t>
      </w:r>
      <w:r>
        <w:rPr>
          <w:rFonts w:ascii="Arial Unicode MS" w:hAnsi="Arial Unicode MS" w:eastAsia="Arial Unicode MS"/>
          <w:color w:val="1F2937"/>
          <w:sz w:val="22"/>
        </w:rPr>
        <w:t>Rust 核心逻辑、可交互 Web 界面、多学科角色协作、工程管理和成本—收益决策均在系统与报告中有明确证据。</w:t>
      </w:r>
    </w:p>
    <w:p>
      <w:pPr>
        <w:pStyle w:val="Heading1"/>
      </w:pPr>
      <w:r>
        <w:t>2  需求与功能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/>
          <w:cantSplit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需求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实现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任务生命周期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创建、删除、分配，支持待办/进行中/待评审/已完成流转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团队资源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成员角色、周容量、小时成本与实时负载率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跨学科协作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前端、后端、测试、产品、运维角色；跨技能支援风险提示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智能派工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技能匹配、接单后负载和人力成本的多准则决策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风险管理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逾期、临期、P0 未派工、过载、跨技能和闲置预警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经济决策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任务人力成本、业务价值、候选人 ROI 与项目组合 ROI</w:t>
            </w:r>
          </w:p>
        </w:tc>
      </w:tr>
    </w:tbl>
    <w:p>
      <w:pPr>
        <w:spacing w:after="0"/>
      </w:pPr>
    </w:p>
    <w:p>
      <w:pPr>
        <w:pStyle w:val="Heading1"/>
      </w:pPr>
      <w:r>
        <w:t>3  系统环境与开发工具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rPr>
          <w:tblHeader/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验证环境</w:t>
            </w:r>
          </w:p>
        </w:tc>
        <w:tc>
          <w:tcPr>
            <w:tcW w:type="dxa" w:w="4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操作系统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macOS Darwin 25.5.0 arm64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开发、编译与测试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Rust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rustc 1.98.0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领域模型、算法、存储、HTTP 服务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Cargo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cargo 1.98.0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依赖、构建、测试与质量检查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Git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2.50.1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版本管理与小组协作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浏览器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Chrome/Chromium 或 Safari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交互界面和端到端验证</w:t>
            </w:r>
          </w:p>
        </w:tc>
      </w:tr>
    </w:tbl>
    <w:p>
      <w:pPr>
        <w:spacing w:after="0"/>
      </w:pPr>
    </w:p>
    <w:p>
      <w:pPr>
        <w:pStyle w:val="Heading2"/>
      </w:pPr>
      <w:r>
        <w:t>3.1  工程化工具链</w:t>
      </w:r>
    </w:p>
    <w:p>
      <w:pPr>
        <w:pStyle w:val="ListBullet"/>
      </w:pPr>
      <w:r>
        <w:rPr>
          <w:rFonts w:ascii="Arial Unicode MS" w:hAnsi="Arial Unicode MS" w:eastAsia="Arial Unicode MS"/>
          <w:color w:val="1F2937"/>
          <w:sz w:val="22"/>
        </w:rPr>
        <w:t>cargo fmt --check：检查 Rust 代码格式是否统一。</w:t>
      </w:r>
    </w:p>
    <w:p>
      <w:pPr>
        <w:pStyle w:val="ListBullet"/>
      </w:pPr>
      <w:r>
        <w:rPr>
          <w:rFonts w:ascii="Arial Unicode MS" w:hAnsi="Arial Unicode MS" w:eastAsia="Arial Unicode MS"/>
          <w:color w:val="1F2937"/>
          <w:sz w:val="22"/>
        </w:rPr>
        <w:t>cargo clippy --all-targets -- -D warnings：将静态分析警告作为失败处理。</w:t>
      </w:r>
    </w:p>
    <w:p>
      <w:pPr>
        <w:pStyle w:val="ListBullet"/>
      </w:pPr>
      <w:r>
        <w:rPr>
          <w:rFonts w:ascii="Arial Unicode MS" w:hAnsi="Arial Unicode MS" w:eastAsia="Arial Unicode MS"/>
          <w:color w:val="1F2937"/>
          <w:sz w:val="22"/>
        </w:rPr>
        <w:t>cargo test：执行日期、存储、API、负载、派工、预警和 ROI 测试。</w:t>
      </w:r>
    </w:p>
    <w:p>
      <w:pPr>
        <w:pStyle w:val="ListBullet"/>
      </w:pPr>
      <w:r>
        <w:rPr>
          <w:rFonts w:ascii="Arial Unicode MS" w:hAnsi="Arial Unicode MS" w:eastAsia="Arial Unicode MS"/>
          <w:color w:val="1F2937"/>
          <w:sz w:val="22"/>
        </w:rPr>
        <w:t>cargo build --release：生成优化后、无前端外部依赖的可执行文件。</w:t>
      </w:r>
    </w:p>
    <w:p>
      <w:pPr>
        <w:pStyle w:val="Heading1"/>
      </w:pPr>
      <w:r>
        <w:t>4  系统架构与模块</w:t>
      </w:r>
    </w:p>
    <w:p>
      <w:r>
        <w:rPr>
          <w:rFonts w:ascii="Arial Unicode MS" w:hAnsi="Arial Unicode MS" w:eastAsia="Arial Unicode MS"/>
          <w:color w:val="1F2937"/>
          <w:sz w:val="22"/>
        </w:rPr>
        <w:t>系统采用“Web 界面 → Rust API 路由 → 领域算法/存储 → JSON 持久化”的分层结构。界面只负责输入与展示，负载、派工、风险和经济计算均位于 Rust 后端。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/>
          <w:cantSplit/>
        </w:trP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6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src/model.rs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成员、角色、任务、优先级、状态、成本与业务价值模型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src/store.rs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数据加载、修改、原子落盘、损坏数据保护与旧数据兼容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src/insight.rs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负载、候选人评分、自动派工、预警、健康度和 ROI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src/api.rs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HTTP 路由、JSON 序列化、字段边界和真实日期校验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src/http.rs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轻量 HTTP/1.1 服务、1 MiB 请求体限制与安全响应头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src/web/index.html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看板、表单、预警、经济指标和响应式交互</w:t>
            </w:r>
          </w:p>
        </w:tc>
      </w:tr>
    </w:tbl>
    <w:p>
      <w:pPr>
        <w:spacing w:after="0"/>
      </w:pPr>
    </w:p>
    <w:p>
      <w:pPr>
        <w:pStyle w:val="Heading1"/>
      </w:pPr>
      <w:r>
        <w:t>5  多学科团队协作</w:t>
      </w:r>
    </w:p>
    <w:p>
      <w:pPr>
        <w:shd w:fill="FFF4CC"/>
        <w:spacing w:before="120" w:after="160"/>
        <w:ind w:left="173" w:right="173"/>
      </w:pPr>
      <w:r>
        <w:rPr>
          <w:rFonts w:ascii="Arial Unicode MS" w:hAnsi="Arial Unicode MS" w:eastAsia="Arial Unicode MS"/>
          <w:b/>
          <w:color w:val="1F4D78"/>
          <w:sz w:val="22"/>
        </w:rPr>
        <w:t xml:space="preserve">提交前必填  </w:t>
      </w:r>
      <w:r>
        <w:rPr>
          <w:rFonts w:ascii="Arial Unicode MS" w:hAnsi="Arial Unicode MS" w:eastAsia="Arial Unicode MS"/>
          <w:color w:val="1F2937"/>
          <w:sz w:val="22"/>
        </w:rPr>
        <w:t>下表必须根据小组真实情况填写，并附上任务记录、文件、评审或截图。不虚构未发生的协作经历。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550"/>
        <w:gridCol w:w="2100"/>
        <w:gridCol w:w="2710"/>
        <w:gridCol w:w="1500"/>
      </w:tblGrid>
      <w:tr>
        <w:trPr>
          <w:tblHeader/>
          <w:cantSplit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成员</w:t>
            </w:r>
          </w:p>
        </w:tc>
        <w:tc>
          <w:tcPr>
            <w:tcW w:type="dxa" w:w="1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学科/特长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项目角色</w:t>
            </w:r>
          </w:p>
        </w:tc>
        <w:tc>
          <w:tcPr>
            <w:tcW w:type="dxa" w:w="27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负责内容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证据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________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________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Rust 核心/项目负责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________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________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________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________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前端与交互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________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________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________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________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测试与质量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________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________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________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________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产品与文档（若有】）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________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________</w:t>
            </w:r>
          </w:p>
        </w:tc>
      </w:tr>
    </w:tbl>
    <w:p>
      <w:pPr>
        <w:spacing w:after="0"/>
      </w:pPr>
    </w:p>
    <w:p>
      <w:pPr>
        <w:pStyle w:val="Heading2"/>
      </w:pPr>
      <w:r>
        <w:t>5.1  协作流程</w:t>
      </w:r>
    </w:p>
    <w:p>
      <w:pPr>
        <w:pStyle w:val="ListNumber"/>
      </w:pPr>
      <w:r>
        <w:rPr>
          <w:rFonts w:ascii="Arial Unicode MS" w:hAnsi="Arial Unicode MS" w:eastAsia="Arial Unicode MS"/>
          <w:color w:val="1F2937"/>
          <w:sz w:val="22"/>
        </w:rPr>
        <w:t>产品角色把用户需求拆分为领域模型、核心算法、界面和测试任务。</w:t>
      </w:r>
    </w:p>
    <w:p>
      <w:pPr>
        <w:pStyle w:val="ListNumber"/>
      </w:pPr>
      <w:r>
        <w:rPr>
          <w:rFonts w:ascii="Arial Unicode MS" w:hAnsi="Arial Unicode MS" w:eastAsia="Arial Unicode MS"/>
          <w:color w:val="1F2937"/>
          <w:sz w:val="22"/>
        </w:rPr>
        <w:t>开发成员在短期功能分支完成任务，以 Pull Request 进行评审。</w:t>
      </w:r>
    </w:p>
    <w:p>
      <w:pPr>
        <w:pStyle w:val="ListNumber"/>
      </w:pPr>
      <w:r>
        <w:rPr>
          <w:rFonts w:ascii="Arial Unicode MS" w:hAnsi="Arial Unicode MS" w:eastAsia="Arial Unicode MS"/>
          <w:color w:val="1F2937"/>
          <w:sz w:val="22"/>
        </w:rPr>
        <w:t>开发者先执行格式、静态分析和单元测试，测试角色再执行功能验收。</w:t>
      </w:r>
    </w:p>
    <w:p>
      <w:pPr>
        <w:pStyle w:val="ListNumber"/>
      </w:pPr>
      <w:r>
        <w:rPr>
          <w:rFonts w:ascii="Arial Unicode MS" w:hAnsi="Arial Unicode MS" w:eastAsia="Arial Unicode MS"/>
          <w:color w:val="1F2937"/>
          <w:sz w:val="22"/>
        </w:rPr>
        <w:t>迭代会议记录风险、方案、负责人和完成时间，在看板中同步任务状态。</w:t>
      </w:r>
    </w:p>
    <w:p>
      <w:pPr>
        <w:pStyle w:val="Heading1"/>
      </w:pPr>
      <w:r>
        <w:t>6  工程管理原理的应用</w:t>
      </w:r>
    </w:p>
    <w:p>
      <w:pPr>
        <w:pStyle w:val="ListBullet"/>
      </w:pPr>
      <w:r>
        <w:rPr>
          <w:rFonts w:ascii="Arial Unicode MS" w:hAnsi="Arial Unicode MS" w:eastAsia="Arial Unicode MS"/>
          <w:color w:val="1F2937"/>
          <w:sz w:val="22"/>
        </w:rPr>
        <w:t>Kanban 可视化：四阶段看板明确展示任务流程，减少状态不透明。</w:t>
      </w:r>
    </w:p>
    <w:p>
      <w:pPr>
        <w:pStyle w:val="ListBullet"/>
      </w:pPr>
      <w:r>
        <w:rPr>
          <w:rFonts w:ascii="Arial Unicode MS" w:hAnsi="Arial Unicode MS" w:eastAsia="Arial Unicode MS"/>
          <w:color w:val="1F2937"/>
          <w:sz w:val="22"/>
        </w:rPr>
        <w:t>WBS 与工时估算：将需求拆分为可验收任务，以预估工时形成计划基线。</w:t>
      </w:r>
    </w:p>
    <w:p>
      <w:pPr>
        <w:pStyle w:val="ListBullet"/>
      </w:pPr>
      <w:r>
        <w:rPr>
          <w:rFonts w:ascii="Arial Unicode MS" w:hAnsi="Arial Unicode MS" w:eastAsia="Arial Unicode MS"/>
          <w:color w:val="1F2937"/>
          <w:sz w:val="22"/>
        </w:rPr>
        <w:t>优先级与进度管理：P0/P1/P2 和截止日期共同决定自动派工顺序。</w:t>
      </w:r>
    </w:p>
    <w:p>
      <w:pPr>
        <w:pStyle w:val="ListBullet"/>
      </w:pPr>
      <w:r>
        <w:rPr>
          <w:rFonts w:ascii="Arial Unicode MS" w:hAnsi="Arial Unicode MS" w:eastAsia="Arial Unicode MS"/>
          <w:color w:val="1F2937"/>
          <w:sz w:val="22"/>
        </w:rPr>
        <w:t>资源平衡：使用“未完成工时 / 周容量”衡量成员负载，100% 以上进入过载预警。</w:t>
      </w:r>
    </w:p>
    <w:p>
      <w:pPr>
        <w:pStyle w:val="ListBullet"/>
      </w:pPr>
      <w:r>
        <w:rPr>
          <w:rFonts w:ascii="Arial Unicode MS" w:hAnsi="Arial Unicode MS" w:eastAsia="Arial Unicode MS"/>
          <w:color w:val="1F2937"/>
          <w:sz w:val="22"/>
        </w:rPr>
        <w:t>风险管理：按危险、警告和提示三级输出逾期、过载等风险与处置建议。</w:t>
      </w:r>
    </w:p>
    <w:p>
      <w:pPr>
        <w:pStyle w:val="ListBullet"/>
      </w:pPr>
      <w:r>
        <w:rPr>
          <w:rFonts w:ascii="Arial Unicode MS" w:hAnsi="Arial Unicode MS" w:eastAsia="Arial Unicode MS"/>
          <w:color w:val="1F2937"/>
          <w:sz w:val="22"/>
        </w:rPr>
        <w:t>量化评价：健康度按按时率 40%、负载均衡 35%、派工覆盖 25% 加权计算。</w:t>
      </w:r>
    </w:p>
    <w:p>
      <w:pPr>
        <w:pStyle w:val="Heading1"/>
      </w:pPr>
      <w:r>
        <w:t>7  经济决策方法</w:t>
      </w:r>
    </w:p>
    <w:p>
      <w:pPr>
        <w:pStyle w:val="Heading2"/>
      </w:pPr>
      <w:r>
        <w:t>7.1  成本与收益模型</w:t>
      </w:r>
    </w:p>
    <w:p>
      <w:r>
        <w:rPr>
          <w:rFonts w:ascii="Arial Unicode MS" w:hAnsi="Arial Unicode MS" w:eastAsia="Arial Unicode MS"/>
          <w:color w:val="1F2937"/>
          <w:sz w:val="22"/>
        </w:rPr>
        <w:t>技能匹配时：C = 预估工时 × 候选人小时成本。</w:t>
      </w:r>
    </w:p>
    <w:p>
      <w:r>
        <w:rPr>
          <w:rFonts w:ascii="Arial Unicode MS" w:hAnsi="Arial Unicode MS" w:eastAsia="Arial Unicode MS"/>
          <w:color w:val="1F2937"/>
          <w:sz w:val="22"/>
        </w:rPr>
        <w:t>跨技能支援时：C_cross = 预估工时 / 0.65 × 候选人小时成本。其中 0.65 表示跨技能学习和沟通导致的生产率折损。</w:t>
      </w:r>
    </w:p>
    <w:p>
      <w:r>
        <w:rPr>
          <w:rFonts w:ascii="Arial Unicode MS" w:hAnsi="Arial Unicode MS" w:eastAsia="Arial Unicode MS"/>
          <w:color w:val="1F2937"/>
          <w:sz w:val="22"/>
        </w:rPr>
        <w:t>投资回报率：ROI = (预期业务价值 - 预计人力成本) / 预计人力成本。</w:t>
      </w:r>
    </w:p>
    <w:p>
      <w:pPr>
        <w:pStyle w:val="Heading2"/>
      </w:pPr>
      <w:r>
        <w:t>7.2  多准则派工</w:t>
      </w:r>
    </w:p>
    <w:p>
      <w:pPr>
        <w:shd w:fill="EAF2F8"/>
        <w:spacing w:before="120" w:after="160"/>
        <w:ind w:left="173" w:right="173"/>
      </w:pPr>
      <w:r>
        <w:rPr>
          <w:rFonts w:ascii="Arial Unicode MS" w:hAnsi="Arial Unicode MS" w:eastAsia="Arial Unicode MS"/>
          <w:b/>
          <w:color w:val="1F4D78"/>
          <w:sz w:val="22"/>
        </w:rPr>
        <w:t xml:space="preserve">评分公式  </w:t>
      </w:r>
      <w:r>
        <w:rPr>
          <w:rFonts w:ascii="Arial Unicode MS" w:hAnsi="Arial Unicode MS" w:eastAsia="Arial Unicode MS"/>
          <w:color w:val="1F2937"/>
          <w:sz w:val="22"/>
        </w:rPr>
        <w:t>Score = 45% × 技能匹配度 + 30% × 剩余容量得分 + 25% × 经济性得分</w:t>
      </w:r>
    </w:p>
    <w:p>
      <w:r>
        <w:rPr>
          <w:rFonts w:ascii="Arial Unicode MS" w:hAnsi="Arial Unicode MS" w:eastAsia="Arial Unicode MS"/>
          <w:color w:val="1F2937"/>
          <w:sz w:val="22"/>
        </w:rPr>
        <w:t>经济性得分使用“最低候选成本 / 当前候选人成本”归一化。算法在专业能力、可交付性和成本之间折中，每完成一次派工就刷新负载，避免后续任务集中在一人。</w:t>
      </w:r>
    </w:p>
    <w:p>
      <w:r>
        <w:rPr>
          <w:rFonts w:ascii="Arial Unicode MS" w:hAnsi="Arial Unicode MS" w:eastAsia="Arial Unicode MS"/>
          <w:color w:val="1F2937"/>
          <w:sz w:val="22"/>
        </w:rPr>
        <w:t>权重和 0.65 生产率系数是 MVP 阶段的管理假设，后续应用历史工时、缺陷率和延期数据校准，而不将它宣称为普遍最优解。</w:t>
      </w:r>
    </w:p>
    <w:p>
      <w:pPr>
        <w:pStyle w:val="Heading2"/>
      </w:pPr>
      <w:r>
        <w:t>7.3  技术方案的经济比较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700"/>
        <w:gridCol w:w="1300"/>
        <w:gridCol w:w="2860"/>
      </w:tblGrid>
      <w:tr>
        <w:trPr>
          <w:tblHeader/>
          <w:cantSplit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方案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开发/部署成本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扩展性</w:t>
            </w:r>
          </w:p>
        </w:tc>
        <w:tc>
          <w:tcPr>
            <w:tcW w:type="dxa" w:w="2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决策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内嵌 Web + 单二进制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低，无独立前端部署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中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本次课程 MVP 采用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前后端分离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中，需两套构建部署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高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用户量扩大后考虑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JSON 文件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低，无数据库服务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低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适合课程演示/小团队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SQLite/PostgreSQL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中至高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中至高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并发、权限或审计需求出现后迁移</w:t>
            </w:r>
          </w:p>
        </w:tc>
      </w:tr>
    </w:tbl>
    <w:p>
      <w:pPr>
        <w:spacing w:after="0"/>
      </w:pPr>
    </w:p>
    <w:p>
      <w:pPr>
        <w:pStyle w:val="Heading1"/>
      </w:pPr>
      <w:r>
        <w:t>8  测试与验收</w:t>
      </w:r>
    </w:p>
    <w:p>
      <w:r>
        <w:rPr>
          <w:rFonts w:ascii="Arial Unicode MS" w:hAnsi="Arial Unicode MS" w:eastAsia="Arial Unicode MS"/>
          <w:color w:val="1F2937"/>
          <w:sz w:val="22"/>
        </w:rPr>
        <w:t>本次修复后已完成格式、静态分析、单元测试、Release 构建、API 联调与桌面/手机视口验收。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1500"/>
        <w:gridCol w:w="4660"/>
      </w:tblGrid>
      <w:tr>
        <w:trPr>
          <w:tblHeader/>
          <w:cantSplit/>
        </w:trPr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验收项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结果</w:t>
            </w:r>
          </w:p>
        </w:tc>
        <w:tc>
          <w:tcPr>
            <w:tcW w:type="dxa" w:w="4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cargo fmt --check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通过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Rust 代码格式统一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cargo clippy --all-targets -- -D warnings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通过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无静态分析警告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cargo test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15/15 通过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覆盖日期、API、存储、派工、预警和 ROI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cargo build --release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通过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生成优化二进制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API 联调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通过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成本/价值/ROI 返回正常，非法日期返回 400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响应式界面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通过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1280 px 桌面与 390 px 手机视口无水平溢出</w:t>
            </w:r>
          </w:p>
        </w:tc>
      </w:tr>
    </w:tbl>
    <w:p>
      <w:pPr>
        <w:spacing w:after="0"/>
      </w:pPr>
    </w:p>
    <w:p>
      <w:pPr>
        <w:pStyle w:val="Heading1"/>
      </w:pPr>
      <w:r>
        <w:t>9  可靠性、安全与交互改进</w:t>
      </w:r>
    </w:p>
    <w:p>
      <w:pPr>
        <w:pStyle w:val="ListBullet"/>
      </w:pPr>
      <w:r>
        <w:rPr>
          <w:rFonts w:ascii="Arial Unicode MS" w:hAnsi="Arial Unicode MS" w:eastAsia="Arial Unicode MS"/>
          <w:color w:val="1F2937"/>
          <w:sz w:val="22"/>
        </w:rPr>
        <w:t>日期校验会识别闰年和每月实际天数，拒绝 2026-02-31 等伪日期。</w:t>
      </w:r>
    </w:p>
    <w:p>
      <w:pPr>
        <w:pStyle w:val="ListBullet"/>
      </w:pPr>
      <w:r>
        <w:rPr>
          <w:rFonts w:ascii="Arial Unicode MS" w:hAnsi="Arial Unicode MS" w:eastAsia="Arial Unicode MS"/>
          <w:color w:val="1F2937"/>
          <w:sz w:val="22"/>
        </w:rPr>
        <w:t>成员容量、小时成本、任务工时和业务价值具有服务端边界校验。</w:t>
      </w:r>
    </w:p>
    <w:p>
      <w:pPr>
        <w:pStyle w:val="ListBullet"/>
      </w:pPr>
      <w:r>
        <w:rPr>
          <w:rFonts w:ascii="Arial Unicode MS" w:hAnsi="Arial Unicode MS" w:eastAsia="Arial Unicode MS"/>
          <w:color w:val="1F2937"/>
          <w:sz w:val="22"/>
        </w:rPr>
        <w:t>数据文件无法解析时拒绝启动且保留原文件，写入通过临时文件原子替换。</w:t>
      </w:r>
    </w:p>
    <w:p>
      <w:pPr>
        <w:pStyle w:val="ListBullet"/>
      </w:pPr>
      <w:r>
        <w:rPr>
          <w:rFonts w:ascii="Arial Unicode MS" w:hAnsi="Arial Unicode MS" w:eastAsia="Arial Unicode MS"/>
          <w:color w:val="1F2937"/>
          <w:sz w:val="22"/>
        </w:rPr>
        <w:t>HTTP 请求体上限为 1 MiB，响应增加 nosniff 与 CSP 安全头。</w:t>
      </w:r>
    </w:p>
    <w:p>
      <w:pPr>
        <w:pStyle w:val="ListBullet"/>
      </w:pPr>
      <w:r>
        <w:rPr>
          <w:rFonts w:ascii="Arial Unicode MS" w:hAnsi="Arial Unicode MS" w:eastAsia="Arial Unicode MS"/>
          <w:color w:val="1F2937"/>
          <w:sz w:val="22"/>
        </w:rPr>
        <w:t>桌面界面支持拖拽；760 px 以下改为单列看板，任务可通过状态下拉框操作。</w:t>
      </w:r>
    </w:p>
    <w:p>
      <w:pPr>
        <w:pStyle w:val="ListBullet"/>
      </w:pPr>
      <w:r>
        <w:rPr>
          <w:rFonts w:ascii="Arial Unicode MS" w:hAnsi="Arial Unicode MS" w:eastAsia="Arial Unicode MS"/>
          <w:color w:val="1F2937"/>
          <w:sz w:val="22"/>
        </w:rPr>
        <w:t>表单和图标按钮增加语义化无障碍标签。</w:t>
      </w:r>
    </w:p>
    <w:p>
      <w:pPr>
        <w:pStyle w:val="Heading1"/>
      </w:pPr>
      <w:r>
        <w:t>10  局限与后续计划</w:t>
      </w:r>
    </w:p>
    <w:p>
      <w:r>
        <w:rPr>
          <w:rFonts w:ascii="Arial Unicode MS" w:hAnsi="Arial Unicode MS" w:eastAsia="Arial Unicode MS"/>
          <w:color w:val="1F2937"/>
          <w:sz w:val="22"/>
        </w:rPr>
        <w:t>当前版本定位为课程 MVP，数据保存在本地 JSON 中，不适合多实例并发写入；同时未实现企业级身份认证、细粒度权限和操作审计。生产化时应迁移数据库，增加 RBAC、HTTPS、审计日志、备份恢复和并发压力测试。</w:t>
      </w:r>
    </w:p>
    <w:p>
      <w:pPr>
        <w:shd w:fill="FFF4CC"/>
        <w:spacing w:before="120" w:after="160"/>
        <w:ind w:left="173" w:right="173"/>
      </w:pPr>
      <w:r>
        <w:rPr>
          <w:rFonts w:ascii="Arial Unicode MS" w:hAnsi="Arial Unicode MS" w:eastAsia="Arial Unicode MS"/>
          <w:b/>
          <w:color w:val="1F4D78"/>
          <w:sz w:val="22"/>
        </w:rPr>
        <w:t xml:space="preserve">边界说明  </w:t>
      </w:r>
      <w:r>
        <w:rPr>
          <w:rFonts w:ascii="Arial Unicode MS" w:hAnsi="Arial Unicode MS" w:eastAsia="Arial Unicode MS"/>
          <w:color w:val="1F2937"/>
          <w:sz w:val="22"/>
        </w:rPr>
        <w:t>课程要求是完成可交互的 Rust 研发团队管理工具，本次未将 MVP 虚构为可直接承载真实企业敏感数据的生产系统。</w:t>
      </w:r>
    </w:p>
    <w:p>
      <w:pPr>
        <w:pStyle w:val="Heading1"/>
      </w:pPr>
      <w:r>
        <w:t>11  结论</w:t>
      </w:r>
    </w:p>
    <w:p>
      <w:r>
        <w:rPr>
          <w:rFonts w:ascii="Arial Unicode MS" w:hAnsi="Arial Unicode MS" w:eastAsia="Arial Unicode MS"/>
          <w:color w:val="1F2937"/>
          <w:sz w:val="22"/>
        </w:rPr>
        <w:t>项目用 Rust 完成了研发团队管理的核心逻辑，并通过 Web 界面实现可视化交互。系统将多学科角色协作、看板和风险管理、资源平衡以及成本—收益决策融合到同一工具中，对应课程的环境与工具、团队合作、工程管理与经济决策能力目标。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67085"/>
        <w:sz w:val="18"/>
      </w:rPr>
      <w:t xml:space="preserve">课程实践报告  ·  </w:t>
    </w:r>
    <w:r>
      <w:rPr>
        <w:rFonts w:ascii="Arial Unicode MS" w:hAnsi="Arial Unicode MS" w:eastAsia="Arial Unicode MS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b/>
        <w:color w:val="667085"/>
        <w:sz w:val="18"/>
      </w:rPr>
      <w:t>MOONLIGHT  |  企业研发团队协作台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Moonlight 企业研发团队协作台课程实践报告</dc:title>
  <dc:subject>Rust 企业实践课程作业</dc:subject>
  <dc:creator>Moonlight 课程小组</dc:creator>
  <cp:keywords>Rust, 研发管理, 工程管理, 经济决策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