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horzAnchor="margin" w:tblpXSpec="center" w:tblpY="842"/>
        <w:tblW w:w="16150" w:type="dxa"/>
        <w:tblInd w:w="-5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1100"/>
        <w:gridCol w:w="2571"/>
        <w:gridCol w:w="3338"/>
        <w:gridCol w:w="1223"/>
        <w:gridCol w:w="1499"/>
        <w:gridCol w:w="1738"/>
        <w:gridCol w:w="2000"/>
        <w:gridCol w:w="987"/>
        <w:gridCol w:w="122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4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ID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Date raised</w:t>
            </w:r>
          </w:p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</w:p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Risk description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Likelihood of the risk</w:t>
            </w: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occurring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Severity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Rating based on impact &amp; likelihood.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Owner</w:t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Person who will manage the risk. 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Mitigating action</w:t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br w:type="textWrapping"/>
            </w:r>
            <w:r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>Actions to mitigate the risk e.g. reduce the likelihood.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Status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>Useful resources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2021.10.28</w:t>
            </w: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A virus-infected computer</w:t>
            </w:r>
          </w:p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 computer cannot be used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safety officer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Download anti-virus software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bookmarkStart w:id="0" w:name="_GoBack"/>
            <w:bookmarkEnd w:id="0"/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7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I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Power outage</w:t>
            </w:r>
          </w:p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Low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 computer cannot be used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safety officer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cs="Calibri"/>
                <w:lang w:val="en-US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Enable backup power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9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 computer is out of the bug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 programmer was unable to program and work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technicians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Call the technicians to solve the problem in time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programmer job-hopping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Not enough pay is that a brain drain company cannot run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Ministry of Human Resources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Learn timely about the salary issues of other game companies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2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Violations of the intellectual property rights of others</w:t>
            </w:r>
          </w:p>
          <w:p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Medium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cs="Calibri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spacing w:val="0"/>
                <w:sz w:val="16"/>
                <w:szCs w:val="16"/>
                <w:shd w:val="clear" w:fill="FFFFFF"/>
                <w:lang w:val="en-US" w:eastAsia="zh-CN"/>
              </w:rPr>
              <w:t>G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  <w:t>et into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 xml:space="preserve"> a judicial dispute</w:t>
            </w:r>
          </w:p>
          <w:p>
            <w:pPr>
              <w:bidi w:val="0"/>
              <w:ind w:firstLine="503" w:firstLineChars="0"/>
              <w:jc w:val="left"/>
              <w:rPr>
                <w:rFonts w:ascii="Calibri" w:hAnsi="Calibri" w:eastAsia="Calibri" w:cs="Times New Roman"/>
                <w:sz w:val="22"/>
                <w:szCs w:val="22"/>
                <w:lang w:val="en-GB" w:eastAsia="en-US" w:bidi="ar-SA"/>
              </w:rPr>
            </w:pP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High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u w:val="single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lawyer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 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微软雅黑" w:cs="Calibri"/>
                <w:lang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Focus on technology and product innovation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Open</w:t>
            </w: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4" w:hRule="atLeast"/>
        </w:trPr>
        <w:tc>
          <w:tcPr>
            <w:tcW w:w="4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11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[03-06-2021]</w:t>
            </w:r>
          </w:p>
        </w:tc>
        <w:tc>
          <w:tcPr>
            <w:tcW w:w="257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  <w:lang w:val="en-US" w:eastAsia="zh-CN"/>
              </w:rPr>
              <w:t>6.</w:t>
            </w: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Serious financial mistakes lead to problems in the capital chain</w:t>
            </w:r>
          </w:p>
        </w:tc>
        <w:tc>
          <w:tcPr>
            <w:tcW w:w="33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C000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Medium</w:t>
            </w:r>
          </w:p>
        </w:tc>
        <w:tc>
          <w:tcPr>
            <w:tcW w:w="122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0000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The project cannot run and employee wages default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eastAsia="宋体" w:cs="Calibri"/>
                <w:b/>
                <w:bCs/>
                <w:color w:val="000000"/>
                <w:lang w:val="en-US" w:eastAsia="zh-CN"/>
              </w:rPr>
            </w:pPr>
            <w:r>
              <w:rPr>
                <w:rFonts w:hint="eastAsia" w:eastAsia="宋体" w:cs="Calibri"/>
                <w:b/>
                <w:bCs/>
                <w:color w:val="000000"/>
                <w:lang w:val="en-US" w:eastAsia="zh-CN"/>
              </w:rPr>
              <w:t>Low</w:t>
            </w:r>
          </w:p>
        </w:tc>
        <w:tc>
          <w:tcPr>
            <w:tcW w:w="173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i w:val="0"/>
                <w:iCs w:val="0"/>
                <w:caps w:val="0"/>
                <w:color w:val="0D0D0D" w:themeColor="text1" w:themeTint="F2"/>
                <w:spacing w:val="0"/>
                <w:sz w:val="16"/>
                <w:szCs w:val="16"/>
                <w:u w:val="single"/>
                <w:shd w:val="clear" w:fill="FFFFFF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accountant</w:t>
            </w:r>
          </w:p>
        </w:tc>
        <w:tc>
          <w:tcPr>
            <w:tcW w:w="20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spacing w:val="0"/>
                <w:sz w:val="16"/>
                <w:szCs w:val="16"/>
                <w:shd w:val="clear" w:fill="FFFFFF"/>
              </w:rPr>
              <w:t>Let financial solutions solve problems in time and open backup funds</w:t>
            </w:r>
          </w:p>
        </w:tc>
        <w:tc>
          <w:tcPr>
            <w:tcW w:w="98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 w:eastAsia="宋体" w:cs="Calibri"/>
                <w:lang w:val="en-US" w:eastAsia="zh-CN"/>
              </w:rPr>
            </w:pPr>
            <w:r>
              <w:rPr>
                <w:rFonts w:hint="eastAsia" w:eastAsia="宋体" w:cs="Calibri"/>
                <w:lang w:val="en-US" w:eastAsia="zh-CN"/>
              </w:rPr>
              <w:t>Open</w:t>
            </w:r>
          </w:p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122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fldChar w:fldCharType="begin"/>
            </w:r>
            <w:r>
              <w:instrText xml:space="preserve"> HYPERLINK "https://www.stakeholdermap.com/project-templates/business-case-template.html" </w:instrText>
            </w:r>
            <w:r>
              <w:fldChar w:fldCharType="separate"/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t>https://www.stakeholdermap.com/project-templates/business-case-template.html</w:t>
            </w:r>
            <w:r>
              <w:rPr>
                <w:rStyle w:val="7"/>
                <w:rFonts w:eastAsia="Times New Roman" w:cs="Calibri"/>
                <w:b/>
                <w:bCs/>
                <w:lang w:val="en-NZ" w:eastAsia="en-NZ"/>
              </w:rPr>
              <w:fldChar w:fldCharType="end"/>
            </w:r>
            <w:r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</w:tbl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Wiki page (GitHub)  </w:t>
      </w:r>
    </w:p>
    <w:p>
      <w:r>
        <w:t xml:space="preserve">Table 1: Risk register Sample </w:t>
      </w:r>
    </w:p>
    <w:p/>
    <w:p/>
    <w:p/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24807"/>
    <w:multiLevelType w:val="singleLevel"/>
    <w:tmpl w:val="CF0248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3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2">
    <w:nsid w:val="FFFFFF89"/>
    <w:multiLevelType w:val="singleLevel"/>
    <w:tmpl w:val="FFFFFF89"/>
    <w:lvl w:ilvl="0" w:tentative="0">
      <w:start w:val="1"/>
      <w:numFmt w:val="bullet"/>
      <w:pStyle w:val="4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684B5F"/>
    <w:rsid w:val="007F5382"/>
    <w:rsid w:val="008F7BBC"/>
    <w:rsid w:val="0099084D"/>
    <w:rsid w:val="00994D34"/>
    <w:rsid w:val="00C14A14"/>
    <w:rsid w:val="00CA0A83"/>
    <w:rsid w:val="00D84B29"/>
    <w:rsid w:val="00DA43AD"/>
    <w:rsid w:val="00E4079E"/>
    <w:rsid w:val="00E65FD0"/>
    <w:rsid w:val="00F363B3"/>
    <w:rsid w:val="00F46FFB"/>
    <w:rsid w:val="00FA5D34"/>
    <w:rsid w:val="0EA771B9"/>
    <w:rsid w:val="5282402F"/>
    <w:rsid w:val="7625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Number"/>
    <w:basedOn w:val="1"/>
    <w:uiPriority w:val="99"/>
    <w:pPr>
      <w:numPr>
        <w:ilvl w:val="0"/>
        <w:numId w:val="1"/>
      </w:numPr>
      <w:contextualSpacing/>
    </w:pPr>
  </w:style>
  <w:style w:type="paragraph" w:styleId="4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character" w:styleId="7">
    <w:name w:val="Hyperlink"/>
    <w:basedOn w:val="6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9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10">
    <w:name w:val="normaltextrun"/>
    <w:basedOn w:val="6"/>
    <w:uiPriority w:val="0"/>
  </w:style>
  <w:style w:type="character" w:customStyle="1" w:styleId="11">
    <w:name w:val="eop"/>
    <w:basedOn w:val="6"/>
    <w:uiPriority w:val="0"/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133</Words>
  <Characters>761</Characters>
  <Lines>6</Lines>
  <Paragraphs>1</Paragraphs>
  <TotalTime>17</TotalTime>
  <ScaleCrop>false</ScaleCrop>
  <LinksUpToDate>false</LinksUpToDate>
  <CharactersWithSpaces>893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2021-06-16T02:44:00Z</dcterms:created>
  <dc:creator>Noor Alani</dc:creator>
  <cp:lastModifiedBy>user</cp:lastModifiedBy>
  <dcterms:modified xsi:type="dcterms:W3CDTF">2021-10-29T06:24:24Z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FF29ECA780CA4B1EA5DAC6970732B10D</vt:lpwstr>
  </property>
</Properties>
</file>