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49CA3A" w14:textId="5ECDF633" w:rsidR="009B62D4" w:rsidRPr="007C6177" w:rsidRDefault="00EB3838" w:rsidP="00EB3838">
      <w:pPr>
        <w:pStyle w:val="Titre2"/>
        <w:rPr>
          <w:lang w:val="fr-FR"/>
        </w:rPr>
      </w:pPr>
      <w:r w:rsidRPr="007C6177">
        <w:rPr>
          <w:lang w:val="fr-FR"/>
        </w:rPr>
        <w:t>Présentation globale de l’architecture</w:t>
      </w:r>
    </w:p>
    <w:p w14:paraId="26069047" w14:textId="77777777" w:rsidR="00CD54D2" w:rsidRPr="00CD54D2" w:rsidRDefault="00CD54D2" w:rsidP="00CD54D2">
      <w:pPr>
        <w:rPr>
          <w:lang w:val="fr-FR"/>
        </w:rPr>
      </w:pPr>
      <w:r w:rsidRPr="00CD54D2">
        <w:rPr>
          <w:lang w:val="fr-FR"/>
        </w:rPr>
        <w:t xml:space="preserve">L’architecture retenue est une </w:t>
      </w:r>
      <w:r w:rsidRPr="00CD54D2">
        <w:rPr>
          <w:b/>
          <w:bCs/>
          <w:lang w:val="fr-FR"/>
        </w:rPr>
        <w:t xml:space="preserve">architecture </w:t>
      </w:r>
      <w:proofErr w:type="spellStart"/>
      <w:r w:rsidRPr="00CD54D2">
        <w:rPr>
          <w:b/>
          <w:bCs/>
          <w:lang w:val="fr-FR"/>
        </w:rPr>
        <w:t>microservices</w:t>
      </w:r>
      <w:proofErr w:type="spellEnd"/>
      <w:r w:rsidRPr="00CD54D2">
        <w:rPr>
          <w:b/>
          <w:bCs/>
          <w:lang w:val="fr-FR"/>
        </w:rPr>
        <w:t xml:space="preserve"> orientée événements</w:t>
      </w:r>
      <w:r w:rsidRPr="00CD54D2">
        <w:rPr>
          <w:lang w:val="fr-FR"/>
        </w:rPr>
        <w:t xml:space="preserve">, exposée via une </w:t>
      </w:r>
      <w:r w:rsidRPr="00CD54D2">
        <w:rPr>
          <w:b/>
          <w:bCs/>
          <w:lang w:val="fr-FR"/>
        </w:rPr>
        <w:t>API Gateway</w:t>
      </w:r>
      <w:r w:rsidRPr="00CD54D2">
        <w:rPr>
          <w:lang w:val="fr-FR"/>
        </w:rPr>
        <w:t xml:space="preserve"> et consommée par des </w:t>
      </w:r>
      <w:r w:rsidRPr="00CD54D2">
        <w:rPr>
          <w:b/>
          <w:bCs/>
          <w:lang w:val="fr-FR"/>
        </w:rPr>
        <w:t>clients web et mobile</w:t>
      </w:r>
      <w:r w:rsidRPr="00CD54D2">
        <w:rPr>
          <w:lang w:val="fr-FR"/>
        </w:rPr>
        <w:t>.</w:t>
      </w:r>
      <w:r w:rsidRPr="00CD54D2">
        <w:rPr>
          <w:lang w:val="fr-FR"/>
        </w:rPr>
        <w:br/>
        <w:t>Ce choix permet de répondre aux besoins de modularité, de scalabilité et de résilience du système.</w:t>
      </w:r>
    </w:p>
    <w:p w14:paraId="64D9AB76" w14:textId="77777777" w:rsidR="00CD54D2" w:rsidRPr="00CD54D2" w:rsidRDefault="00CD54D2" w:rsidP="00CD54D2">
      <w:pPr>
        <w:rPr>
          <w:lang w:val="fr-FR"/>
        </w:rPr>
      </w:pPr>
      <w:r w:rsidRPr="00CD54D2">
        <w:rPr>
          <w:lang w:val="fr-FR"/>
        </w:rPr>
        <w:t xml:space="preserve">L’architecture est composée de </w:t>
      </w:r>
      <w:r w:rsidRPr="00CD54D2">
        <w:rPr>
          <w:b/>
          <w:bCs/>
          <w:lang w:val="fr-FR"/>
        </w:rPr>
        <w:t xml:space="preserve">cinq </w:t>
      </w:r>
      <w:proofErr w:type="spellStart"/>
      <w:r w:rsidRPr="00CD54D2">
        <w:rPr>
          <w:b/>
          <w:bCs/>
          <w:lang w:val="fr-FR"/>
        </w:rPr>
        <w:t>microservices</w:t>
      </w:r>
      <w:proofErr w:type="spellEnd"/>
      <w:r w:rsidRPr="00CD54D2">
        <w:rPr>
          <w:lang w:val="fr-FR"/>
        </w:rPr>
        <w:t>, chacun étant responsable d’un domaine fonctionnel précis du système :</w:t>
      </w:r>
    </w:p>
    <w:p w14:paraId="0D93CC80" w14:textId="77777777" w:rsidR="00CD54D2" w:rsidRPr="00CD54D2" w:rsidRDefault="00CD54D2" w:rsidP="00CD54D2">
      <w:pPr>
        <w:numPr>
          <w:ilvl w:val="0"/>
          <w:numId w:val="2"/>
        </w:numPr>
        <w:rPr>
          <w:lang w:val="fr-FR"/>
        </w:rPr>
      </w:pPr>
      <w:r w:rsidRPr="00CD54D2">
        <w:rPr>
          <w:b/>
          <w:bCs/>
          <w:lang w:val="fr-FR"/>
        </w:rPr>
        <w:t>Commandes</w:t>
      </w:r>
      <w:r w:rsidRPr="00CD54D2">
        <w:rPr>
          <w:lang w:val="fr-FR"/>
        </w:rPr>
        <w:br/>
        <w:t xml:space="preserve">Ce service est responsable du traitement des commandes des clients. Lorsqu’une commande est créée ou mise à jour, il publie un </w:t>
      </w:r>
      <w:r w:rsidRPr="00CD54D2">
        <w:rPr>
          <w:b/>
          <w:bCs/>
          <w:lang w:val="fr-FR"/>
        </w:rPr>
        <w:t>événement métier</w:t>
      </w:r>
      <w:r w:rsidRPr="00CD54D2">
        <w:rPr>
          <w:lang w:val="fr-FR"/>
        </w:rPr>
        <w:t xml:space="preserve"> via le broker de messages afin de notifier les autres </w:t>
      </w:r>
      <w:proofErr w:type="spellStart"/>
      <w:r w:rsidRPr="00CD54D2">
        <w:rPr>
          <w:lang w:val="fr-FR"/>
        </w:rPr>
        <w:t>microservices</w:t>
      </w:r>
      <w:proofErr w:type="spellEnd"/>
      <w:r w:rsidRPr="00CD54D2">
        <w:rPr>
          <w:lang w:val="fr-FR"/>
        </w:rPr>
        <w:t xml:space="preserve"> concernés de l’existence d’une nouvelle commande.</w:t>
      </w:r>
    </w:p>
    <w:p w14:paraId="7A18FCEC" w14:textId="77777777" w:rsidR="00CD54D2" w:rsidRPr="00CD54D2" w:rsidRDefault="00CD54D2" w:rsidP="00CD54D2">
      <w:pPr>
        <w:numPr>
          <w:ilvl w:val="0"/>
          <w:numId w:val="2"/>
        </w:numPr>
        <w:rPr>
          <w:lang w:val="fr-FR"/>
        </w:rPr>
      </w:pPr>
      <w:r w:rsidRPr="00CD54D2">
        <w:rPr>
          <w:b/>
          <w:bCs/>
          <w:lang w:val="fr-FR"/>
        </w:rPr>
        <w:t>Paiement</w:t>
      </w:r>
      <w:r w:rsidRPr="00CD54D2">
        <w:rPr>
          <w:lang w:val="fr-FR"/>
        </w:rPr>
        <w:br/>
        <w:t xml:space="preserve">Ce service gère l’ensemble du processus de paiement. Une fois le paiement validé, il émet un </w:t>
      </w:r>
      <w:r w:rsidRPr="00CD54D2">
        <w:rPr>
          <w:b/>
          <w:bCs/>
          <w:lang w:val="fr-FR"/>
        </w:rPr>
        <w:t>événement de finalisation du paiement</w:t>
      </w:r>
      <w:r w:rsidRPr="00CD54D2">
        <w:rPr>
          <w:lang w:val="fr-FR"/>
        </w:rPr>
        <w:t>, permettant aux autres services (notamment Stock et Livraison) de réagir de manière asynchrone.</w:t>
      </w:r>
    </w:p>
    <w:p w14:paraId="2BABF34E" w14:textId="77777777" w:rsidR="00CD54D2" w:rsidRPr="00CD54D2" w:rsidRDefault="00CD54D2" w:rsidP="00CD54D2">
      <w:pPr>
        <w:numPr>
          <w:ilvl w:val="0"/>
          <w:numId w:val="2"/>
        </w:numPr>
        <w:rPr>
          <w:lang w:val="fr-FR"/>
        </w:rPr>
      </w:pPr>
      <w:r w:rsidRPr="00CD54D2">
        <w:rPr>
          <w:b/>
          <w:bCs/>
          <w:lang w:val="fr-FR"/>
        </w:rPr>
        <w:t>Stock</w:t>
      </w:r>
      <w:r w:rsidRPr="00CD54D2">
        <w:rPr>
          <w:lang w:val="fr-FR"/>
        </w:rPr>
        <w:br/>
        <w:t xml:space="preserve">Le service Stock est chargé de la gestion des stocks. Il est connecté au broker de messages afin de </w:t>
      </w:r>
      <w:r w:rsidRPr="00CD54D2">
        <w:rPr>
          <w:b/>
          <w:bCs/>
          <w:lang w:val="fr-FR"/>
        </w:rPr>
        <w:t>consommer les événements liés à la validation des paiements</w:t>
      </w:r>
      <w:r w:rsidRPr="00CD54D2">
        <w:rPr>
          <w:lang w:val="fr-FR"/>
        </w:rPr>
        <w:t>, ce qui lui permet de mettre à jour automatiquement les quantités disponibles après chaque commande.</w:t>
      </w:r>
    </w:p>
    <w:p w14:paraId="7EA1BDB1" w14:textId="77777777" w:rsidR="00CD54D2" w:rsidRPr="00CD54D2" w:rsidRDefault="00CD54D2" w:rsidP="00CD54D2">
      <w:pPr>
        <w:numPr>
          <w:ilvl w:val="0"/>
          <w:numId w:val="2"/>
        </w:numPr>
        <w:rPr>
          <w:lang w:val="fr-FR"/>
        </w:rPr>
      </w:pPr>
      <w:r w:rsidRPr="00CD54D2">
        <w:rPr>
          <w:b/>
          <w:bCs/>
          <w:lang w:val="fr-FR"/>
        </w:rPr>
        <w:t>Livraison</w:t>
      </w:r>
      <w:r w:rsidRPr="00CD54D2">
        <w:rPr>
          <w:lang w:val="fr-FR"/>
        </w:rPr>
        <w:br/>
        <w:t xml:space="preserve">Ce service est responsable de la gestion des livraisons. Il consomme les événements relatifs aux nouvelles commandes validées et communique avec les livreurs. Il permet également l’envoi de </w:t>
      </w:r>
      <w:r w:rsidRPr="00CD54D2">
        <w:rPr>
          <w:b/>
          <w:bCs/>
          <w:lang w:val="fr-FR"/>
        </w:rPr>
        <w:t>mises à jour en temps réel</w:t>
      </w:r>
      <w:r w:rsidRPr="00CD54D2">
        <w:rPr>
          <w:lang w:val="fr-FR"/>
        </w:rPr>
        <w:t xml:space="preserve"> au client concerné (par exemple via </w:t>
      </w:r>
      <w:proofErr w:type="spellStart"/>
      <w:r w:rsidRPr="00CD54D2">
        <w:rPr>
          <w:lang w:val="fr-FR"/>
        </w:rPr>
        <w:t>WebSocket</w:t>
      </w:r>
      <w:proofErr w:type="spellEnd"/>
      <w:r w:rsidRPr="00CD54D2">
        <w:rPr>
          <w:lang w:val="fr-FR"/>
        </w:rPr>
        <w:t>) afin de suivre l’état de la livraison.</w:t>
      </w:r>
    </w:p>
    <w:p w14:paraId="1DF71EA6" w14:textId="77777777" w:rsidR="00CD54D2" w:rsidRPr="00CD54D2" w:rsidRDefault="00CD54D2" w:rsidP="00CD54D2">
      <w:pPr>
        <w:numPr>
          <w:ilvl w:val="0"/>
          <w:numId w:val="2"/>
        </w:numPr>
        <w:rPr>
          <w:lang w:val="fr-FR"/>
        </w:rPr>
      </w:pPr>
      <w:r w:rsidRPr="00CD54D2">
        <w:rPr>
          <w:b/>
          <w:bCs/>
          <w:lang w:val="fr-FR"/>
        </w:rPr>
        <w:t>Authentification (</w:t>
      </w:r>
      <w:proofErr w:type="spellStart"/>
      <w:r w:rsidRPr="00CD54D2">
        <w:rPr>
          <w:b/>
          <w:bCs/>
          <w:lang w:val="fr-FR"/>
        </w:rPr>
        <w:t>Auth</w:t>
      </w:r>
      <w:proofErr w:type="spellEnd"/>
      <w:r w:rsidRPr="00CD54D2">
        <w:rPr>
          <w:b/>
          <w:bCs/>
          <w:lang w:val="fr-FR"/>
        </w:rPr>
        <w:t>)</w:t>
      </w:r>
      <w:r w:rsidRPr="00CD54D2">
        <w:rPr>
          <w:lang w:val="fr-FR"/>
        </w:rPr>
        <w:br/>
        <w:t xml:space="preserve">Ce service assure l’authentification des utilisateurs et la gestion de la sécurité. Il génère des </w:t>
      </w:r>
      <w:r w:rsidRPr="00CD54D2">
        <w:rPr>
          <w:b/>
          <w:bCs/>
          <w:lang w:val="fr-FR"/>
        </w:rPr>
        <w:t xml:space="preserve">JSON Web </w:t>
      </w:r>
      <w:proofErr w:type="spellStart"/>
      <w:r w:rsidRPr="00CD54D2">
        <w:rPr>
          <w:b/>
          <w:bCs/>
          <w:lang w:val="fr-FR"/>
        </w:rPr>
        <w:t>Tokens</w:t>
      </w:r>
      <w:proofErr w:type="spellEnd"/>
      <w:r w:rsidRPr="00CD54D2">
        <w:rPr>
          <w:b/>
          <w:bCs/>
          <w:lang w:val="fr-FR"/>
        </w:rPr>
        <w:t xml:space="preserve"> (JWT)</w:t>
      </w:r>
      <w:r w:rsidRPr="00CD54D2">
        <w:rPr>
          <w:lang w:val="fr-FR"/>
        </w:rPr>
        <w:t xml:space="preserve"> utilisés par l’API Gateway et les autres </w:t>
      </w:r>
      <w:proofErr w:type="spellStart"/>
      <w:r w:rsidRPr="00CD54D2">
        <w:rPr>
          <w:lang w:val="fr-FR"/>
        </w:rPr>
        <w:t>microservices</w:t>
      </w:r>
      <w:proofErr w:type="spellEnd"/>
      <w:r w:rsidRPr="00CD54D2">
        <w:rPr>
          <w:lang w:val="fr-FR"/>
        </w:rPr>
        <w:t xml:space="preserve"> pour contrôler l’accès aux ressources.</w:t>
      </w:r>
    </w:p>
    <w:p w14:paraId="48D172B8" w14:textId="71180202" w:rsidR="00CD54D2" w:rsidRDefault="00CD54D2" w:rsidP="00CD54D2">
      <w:pPr>
        <w:rPr>
          <w:lang w:val="fr-FR"/>
        </w:rPr>
      </w:pPr>
      <w:r w:rsidRPr="00CD54D2">
        <w:rPr>
          <w:lang w:val="fr-FR"/>
        </w:rPr>
        <w:t xml:space="preserve">L’ensemble de ces services forme un </w:t>
      </w:r>
      <w:r w:rsidRPr="00CD54D2">
        <w:rPr>
          <w:b/>
          <w:bCs/>
          <w:lang w:val="fr-FR"/>
        </w:rPr>
        <w:t>système découplé et scalable</w:t>
      </w:r>
      <w:r w:rsidRPr="00CD54D2">
        <w:rPr>
          <w:lang w:val="fr-FR"/>
        </w:rPr>
        <w:t xml:space="preserve">, dans lequel chaque </w:t>
      </w:r>
      <w:proofErr w:type="spellStart"/>
      <w:r w:rsidRPr="00CD54D2">
        <w:rPr>
          <w:lang w:val="fr-FR"/>
        </w:rPr>
        <w:t>microservice</w:t>
      </w:r>
      <w:proofErr w:type="spellEnd"/>
      <w:r w:rsidRPr="00CD54D2">
        <w:rPr>
          <w:lang w:val="fr-FR"/>
        </w:rPr>
        <w:t xml:space="preserve"> peut évoluer, être déployé et être mis à l’échelle indépendamment des autres. L’utilisation d’une communication événementielle via un broker de messages renforce la résilience du système et facilite la gestion des pics de charge.</w:t>
      </w:r>
    </w:p>
    <w:p w14:paraId="0E79C8C6" w14:textId="77777777" w:rsidR="00CD54D2" w:rsidRPr="00CD54D2" w:rsidRDefault="00CD54D2" w:rsidP="00CD54D2">
      <w:pPr>
        <w:rPr>
          <w:lang w:val="fr-FR"/>
        </w:rPr>
      </w:pPr>
    </w:p>
    <w:p w14:paraId="58F2F2F0" w14:textId="77777777" w:rsidR="00CD54D2" w:rsidRDefault="00CD54D2">
      <w:pPr>
        <w:rPr>
          <w:rFonts w:asciiTheme="majorHAnsi" w:eastAsiaTheme="majorEastAsia" w:hAnsiTheme="majorHAnsi" w:cstheme="majorBidi"/>
          <w:color w:val="000000" w:themeColor="text1"/>
          <w:sz w:val="32"/>
          <w:szCs w:val="32"/>
          <w:lang w:val="fr-FR"/>
        </w:rPr>
      </w:pPr>
      <w:r>
        <w:rPr>
          <w:lang w:val="fr-FR"/>
        </w:rPr>
        <w:br w:type="page"/>
      </w:r>
    </w:p>
    <w:p w14:paraId="1777603B" w14:textId="77777777" w:rsidR="00CD54D2" w:rsidRPr="00CD54D2" w:rsidRDefault="00CD54D2" w:rsidP="007528C9">
      <w:pPr>
        <w:pStyle w:val="Titre2"/>
        <w:rPr>
          <w:lang w:val="fr-FR"/>
        </w:rPr>
      </w:pPr>
      <w:r w:rsidRPr="00CD54D2">
        <w:rPr>
          <w:lang w:val="fr-FR"/>
        </w:rPr>
        <w:lastRenderedPageBreak/>
        <w:t xml:space="preserve">Pourquoi une architecture </w:t>
      </w:r>
      <w:proofErr w:type="spellStart"/>
      <w:r w:rsidRPr="00CD54D2">
        <w:rPr>
          <w:lang w:val="fr-FR"/>
        </w:rPr>
        <w:t>microservices</w:t>
      </w:r>
      <w:proofErr w:type="spellEnd"/>
    </w:p>
    <w:p w14:paraId="18433B37" w14:textId="77777777" w:rsidR="00684E14" w:rsidRPr="00684E14" w:rsidRDefault="00684E14" w:rsidP="00684E14">
      <w:pPr>
        <w:rPr>
          <w:lang w:val="fr-FR"/>
        </w:rPr>
      </w:pPr>
      <w:r w:rsidRPr="00684E14">
        <w:rPr>
          <w:lang w:val="fr-FR"/>
        </w:rPr>
        <w:t xml:space="preserve">Nous avons choisi une </w:t>
      </w:r>
      <w:r w:rsidRPr="00684E14">
        <w:rPr>
          <w:b/>
          <w:bCs/>
          <w:lang w:val="fr-FR"/>
        </w:rPr>
        <w:t xml:space="preserve">architecture </w:t>
      </w:r>
      <w:proofErr w:type="spellStart"/>
      <w:r w:rsidRPr="00684E14">
        <w:rPr>
          <w:b/>
          <w:bCs/>
          <w:lang w:val="fr-FR"/>
        </w:rPr>
        <w:t>microservices</w:t>
      </w:r>
      <w:proofErr w:type="spellEnd"/>
      <w:r w:rsidRPr="00684E14">
        <w:rPr>
          <w:b/>
          <w:bCs/>
          <w:lang w:val="fr-FR"/>
        </w:rPr>
        <w:t xml:space="preserve"> orientée événements</w:t>
      </w:r>
      <w:r w:rsidRPr="00684E14">
        <w:rPr>
          <w:lang w:val="fr-FR"/>
        </w:rPr>
        <w:t xml:space="preserve"> afin de répondre aux exigences fonctionnelles et non fonctionnelles du système.</w:t>
      </w:r>
    </w:p>
    <w:p w14:paraId="66437642" w14:textId="77777777" w:rsidR="00684E14" w:rsidRPr="00684E14" w:rsidRDefault="00684E14" w:rsidP="00684E14">
      <w:pPr>
        <w:pStyle w:val="Titre3"/>
        <w:rPr>
          <w:lang w:val="fr-FR"/>
        </w:rPr>
      </w:pPr>
      <w:r w:rsidRPr="00684E14">
        <w:rPr>
          <w:lang w:val="fr-FR"/>
        </w:rPr>
        <w:t>Découpage par domaines fonctionnels</w:t>
      </w:r>
    </w:p>
    <w:p w14:paraId="451CB48B" w14:textId="77777777" w:rsidR="00684E14" w:rsidRPr="00684E14" w:rsidRDefault="00684E14" w:rsidP="00684E14">
      <w:pPr>
        <w:rPr>
          <w:lang w:val="fr-FR"/>
        </w:rPr>
      </w:pPr>
      <w:r w:rsidRPr="00684E14">
        <w:rPr>
          <w:lang w:val="fr-FR"/>
        </w:rPr>
        <w:t xml:space="preserve">L’architecture </w:t>
      </w:r>
      <w:proofErr w:type="spellStart"/>
      <w:r w:rsidRPr="00684E14">
        <w:rPr>
          <w:lang w:val="fr-FR"/>
        </w:rPr>
        <w:t>microservices</w:t>
      </w:r>
      <w:proofErr w:type="spellEnd"/>
      <w:r w:rsidRPr="00684E14">
        <w:rPr>
          <w:lang w:val="fr-FR"/>
        </w:rPr>
        <w:t xml:space="preserve"> permet un </w:t>
      </w:r>
      <w:r w:rsidRPr="00684E14">
        <w:rPr>
          <w:b/>
          <w:bCs/>
          <w:lang w:val="fr-FR"/>
        </w:rPr>
        <w:t>découpage clair par domaines métier</w:t>
      </w:r>
      <w:r w:rsidRPr="00684E14">
        <w:rPr>
          <w:lang w:val="fr-FR"/>
        </w:rPr>
        <w:t xml:space="preserve">, tels que les commandes, le paiement, le stock, la livraison et l’authentification. Chaque </w:t>
      </w:r>
      <w:proofErr w:type="spellStart"/>
      <w:r w:rsidRPr="00684E14">
        <w:rPr>
          <w:lang w:val="fr-FR"/>
        </w:rPr>
        <w:t>microservice</w:t>
      </w:r>
      <w:proofErr w:type="spellEnd"/>
      <w:r w:rsidRPr="00684E14">
        <w:rPr>
          <w:lang w:val="fr-FR"/>
        </w:rPr>
        <w:t xml:space="preserve"> est responsable d’un périmètre fonctionnel bien défini, ce qui améliore la compréhension du système et limite les dépendances entre les différentes parties de l’application.</w:t>
      </w:r>
    </w:p>
    <w:p w14:paraId="794707EB" w14:textId="77777777" w:rsidR="00684E14" w:rsidRPr="00684E14" w:rsidRDefault="00684E14" w:rsidP="00684E14">
      <w:pPr>
        <w:pStyle w:val="Titre3"/>
        <w:rPr>
          <w:lang w:val="fr-FR"/>
        </w:rPr>
      </w:pPr>
      <w:r w:rsidRPr="00684E14">
        <w:rPr>
          <w:lang w:val="fr-FR"/>
        </w:rPr>
        <w:t>Indépendance et évolutivité des services</w:t>
      </w:r>
    </w:p>
    <w:p w14:paraId="3507B0E4" w14:textId="77777777" w:rsidR="00684E14" w:rsidRPr="00684E14" w:rsidRDefault="00684E14" w:rsidP="00684E14">
      <w:pPr>
        <w:rPr>
          <w:lang w:val="fr-FR"/>
        </w:rPr>
      </w:pPr>
      <w:r w:rsidRPr="00684E14">
        <w:rPr>
          <w:lang w:val="fr-FR"/>
        </w:rPr>
        <w:t xml:space="preserve">Chaque </w:t>
      </w:r>
      <w:proofErr w:type="spellStart"/>
      <w:r w:rsidRPr="00684E14">
        <w:rPr>
          <w:lang w:val="fr-FR"/>
        </w:rPr>
        <w:t>microservice</w:t>
      </w:r>
      <w:proofErr w:type="spellEnd"/>
      <w:r w:rsidRPr="00684E14">
        <w:rPr>
          <w:lang w:val="fr-FR"/>
        </w:rPr>
        <w:t xml:space="preserve"> est </w:t>
      </w:r>
      <w:r w:rsidRPr="00684E14">
        <w:rPr>
          <w:b/>
          <w:bCs/>
          <w:lang w:val="fr-FR"/>
        </w:rPr>
        <w:t>indépendant</w:t>
      </w:r>
      <w:r w:rsidRPr="00684E14">
        <w:rPr>
          <w:lang w:val="fr-FR"/>
        </w:rPr>
        <w:t xml:space="preserve"> et peut être développé, déployé et mis à l’échelle séparément. Cette indépendance permet d’adapter les ressources uniquement aux services les plus sollicités (par exemple le service Commandes lors des pics de trafic), améliorant ainsi la </w:t>
      </w:r>
      <w:r w:rsidRPr="00684E14">
        <w:rPr>
          <w:b/>
          <w:bCs/>
          <w:lang w:val="fr-FR"/>
        </w:rPr>
        <w:t>scalabilité globale</w:t>
      </w:r>
      <w:r w:rsidRPr="00684E14">
        <w:rPr>
          <w:lang w:val="fr-FR"/>
        </w:rPr>
        <w:t xml:space="preserve"> du système.</w:t>
      </w:r>
    </w:p>
    <w:p w14:paraId="0319F1AD" w14:textId="77777777" w:rsidR="00684E14" w:rsidRPr="00684E14" w:rsidRDefault="00684E14" w:rsidP="00684E14">
      <w:pPr>
        <w:pStyle w:val="Titre3"/>
        <w:rPr>
          <w:lang w:val="fr-FR"/>
        </w:rPr>
      </w:pPr>
      <w:r w:rsidRPr="00684E14">
        <w:rPr>
          <w:lang w:val="fr-FR"/>
        </w:rPr>
        <w:t>Maintenabilité et facilité d’évolution</w:t>
      </w:r>
    </w:p>
    <w:p w14:paraId="15591AF8" w14:textId="77777777" w:rsidR="00684E14" w:rsidRPr="00684E14" w:rsidRDefault="00684E14" w:rsidP="00684E14">
      <w:pPr>
        <w:rPr>
          <w:lang w:val="fr-FR"/>
        </w:rPr>
      </w:pPr>
      <w:r w:rsidRPr="00684E14">
        <w:rPr>
          <w:lang w:val="fr-FR"/>
        </w:rPr>
        <w:t xml:space="preserve">Grâce à la séparation des responsabilités, les évolutions fonctionnelles ou techniques peuvent être réalisées sur un </w:t>
      </w:r>
      <w:proofErr w:type="spellStart"/>
      <w:r w:rsidRPr="00684E14">
        <w:rPr>
          <w:lang w:val="fr-FR"/>
        </w:rPr>
        <w:t>microservice</w:t>
      </w:r>
      <w:proofErr w:type="spellEnd"/>
      <w:r w:rsidRPr="00684E14">
        <w:rPr>
          <w:lang w:val="fr-FR"/>
        </w:rPr>
        <w:t xml:space="preserve"> sans impacter l’ensemble du système. Cette approche améliore la </w:t>
      </w:r>
      <w:r w:rsidRPr="00684E14">
        <w:rPr>
          <w:b/>
          <w:bCs/>
          <w:lang w:val="fr-FR"/>
        </w:rPr>
        <w:t>maintenabilité</w:t>
      </w:r>
      <w:r w:rsidRPr="00684E14">
        <w:rPr>
          <w:lang w:val="fr-FR"/>
        </w:rPr>
        <w:t>, réduit les risques lors des mises à jour et facilite l’intégration de nouvelles fonctionnalités ou de nouveaux services à l’avenir.</w:t>
      </w:r>
    </w:p>
    <w:p w14:paraId="166C5A84" w14:textId="77777777" w:rsidR="00684E14" w:rsidRPr="00684E14" w:rsidRDefault="00684E14" w:rsidP="00684E14">
      <w:pPr>
        <w:rPr>
          <w:lang w:val="fr-FR"/>
        </w:rPr>
      </w:pPr>
      <w:r w:rsidRPr="00684E14">
        <w:rPr>
          <w:lang w:val="fr-FR"/>
        </w:rPr>
        <w:t xml:space="preserve">De plus, l’utilisation d’une </w:t>
      </w:r>
      <w:r w:rsidRPr="00684E14">
        <w:rPr>
          <w:b/>
          <w:bCs/>
          <w:lang w:val="fr-FR"/>
        </w:rPr>
        <w:t>communication événementielle</w:t>
      </w:r>
      <w:r w:rsidRPr="00684E14">
        <w:rPr>
          <w:lang w:val="fr-FR"/>
        </w:rPr>
        <w:t xml:space="preserve"> via un broker de messages renforce la </w:t>
      </w:r>
      <w:r w:rsidRPr="00684E14">
        <w:rPr>
          <w:b/>
          <w:bCs/>
          <w:lang w:val="fr-FR"/>
        </w:rPr>
        <w:t>résilience du système</w:t>
      </w:r>
      <w:r w:rsidRPr="00684E14">
        <w:rPr>
          <w:lang w:val="fr-FR"/>
        </w:rPr>
        <w:t>, en limitant le couplage entre les services et en permettant une meilleure gestion des défaillances et des pics de charge.</w:t>
      </w:r>
    </w:p>
    <w:p w14:paraId="54F9C5E4" w14:textId="316ED75C" w:rsidR="00684E14" w:rsidRDefault="00684E14" w:rsidP="007528C9">
      <w:pPr>
        <w:pStyle w:val="Titre2"/>
        <w:rPr>
          <w:lang w:val="fr-FR"/>
        </w:rPr>
      </w:pPr>
      <w:r w:rsidRPr="00CD54D2">
        <w:rPr>
          <w:lang w:val="fr-FR"/>
        </w:rPr>
        <w:t xml:space="preserve">Pourquoi </w:t>
      </w:r>
      <w:r>
        <w:rPr>
          <w:lang w:val="fr-FR"/>
        </w:rPr>
        <w:t>utiliser une API Gateway</w:t>
      </w:r>
    </w:p>
    <w:p w14:paraId="3A333738" w14:textId="77777777" w:rsidR="007528C9" w:rsidRPr="007528C9" w:rsidRDefault="007528C9" w:rsidP="007528C9">
      <w:pPr>
        <w:rPr>
          <w:rFonts w:eastAsiaTheme="majorEastAsia" w:cstheme="majorBidi"/>
          <w:b/>
          <w:bCs/>
          <w:color w:val="767171" w:themeColor="background2" w:themeShade="80"/>
          <w:sz w:val="28"/>
          <w:szCs w:val="28"/>
          <w:lang w:val="fr-FR"/>
        </w:rPr>
      </w:pPr>
      <w:r w:rsidRPr="007528C9">
        <w:rPr>
          <w:rFonts w:eastAsiaTheme="majorEastAsia" w:cstheme="majorBidi"/>
          <w:b/>
          <w:bCs/>
          <w:color w:val="767171" w:themeColor="background2" w:themeShade="80"/>
          <w:sz w:val="28"/>
          <w:szCs w:val="28"/>
          <w:lang w:val="fr-FR"/>
        </w:rPr>
        <w:t>Simplification de la communication entre les clients et les services</w:t>
      </w:r>
    </w:p>
    <w:p w14:paraId="59DA3463" w14:textId="77777777" w:rsidR="007528C9" w:rsidRPr="007528C9" w:rsidRDefault="007528C9" w:rsidP="007528C9">
      <w:pPr>
        <w:rPr>
          <w:lang w:val="fr-FR"/>
        </w:rPr>
      </w:pPr>
      <w:r w:rsidRPr="007528C9">
        <w:rPr>
          <w:lang w:val="fr-FR"/>
        </w:rPr>
        <w:t xml:space="preserve">L’utilisation d’une </w:t>
      </w:r>
      <w:r w:rsidRPr="007528C9">
        <w:rPr>
          <w:b/>
          <w:bCs/>
          <w:lang w:val="fr-FR"/>
        </w:rPr>
        <w:t>API Gateway</w:t>
      </w:r>
      <w:r w:rsidRPr="007528C9">
        <w:rPr>
          <w:lang w:val="fr-FR"/>
        </w:rPr>
        <w:t xml:space="preserve"> est essentielle car elle fournit un </w:t>
      </w:r>
      <w:r w:rsidRPr="007528C9">
        <w:rPr>
          <w:b/>
          <w:bCs/>
          <w:lang w:val="fr-FR"/>
        </w:rPr>
        <w:t>point d’entrée unique</w:t>
      </w:r>
      <w:r w:rsidRPr="007528C9">
        <w:rPr>
          <w:lang w:val="fr-FR"/>
        </w:rPr>
        <w:t xml:space="preserve"> à l’application. Elle simplifie la communication entre les clients web et mobile et les différents </w:t>
      </w:r>
      <w:proofErr w:type="spellStart"/>
      <w:r w:rsidRPr="007528C9">
        <w:rPr>
          <w:lang w:val="fr-FR"/>
        </w:rPr>
        <w:t>microservices</w:t>
      </w:r>
      <w:proofErr w:type="spellEnd"/>
      <w:r w:rsidRPr="007528C9">
        <w:rPr>
          <w:lang w:val="fr-FR"/>
        </w:rPr>
        <w:t>, en évitant aux clients de devoir interagir directement avec chaque service.</w:t>
      </w:r>
    </w:p>
    <w:p w14:paraId="23189A06" w14:textId="77777777" w:rsidR="007528C9" w:rsidRPr="007528C9" w:rsidRDefault="007528C9" w:rsidP="007528C9">
      <w:pPr>
        <w:rPr>
          <w:rFonts w:eastAsiaTheme="majorEastAsia" w:cstheme="majorBidi"/>
          <w:b/>
          <w:bCs/>
          <w:color w:val="767171" w:themeColor="background2" w:themeShade="80"/>
          <w:sz w:val="28"/>
          <w:szCs w:val="28"/>
          <w:lang w:val="fr-FR"/>
        </w:rPr>
      </w:pPr>
      <w:r w:rsidRPr="007528C9">
        <w:rPr>
          <w:rFonts w:eastAsiaTheme="majorEastAsia" w:cstheme="majorBidi"/>
          <w:b/>
          <w:bCs/>
          <w:color w:val="767171" w:themeColor="background2" w:themeShade="80"/>
          <w:sz w:val="28"/>
          <w:szCs w:val="28"/>
          <w:lang w:val="fr-FR"/>
        </w:rPr>
        <w:t>Centralisation de la sécurité</w:t>
      </w:r>
    </w:p>
    <w:p w14:paraId="01D9ACC7" w14:textId="77777777" w:rsidR="007528C9" w:rsidRPr="007528C9" w:rsidRDefault="007528C9" w:rsidP="007528C9">
      <w:pPr>
        <w:rPr>
          <w:lang w:val="fr-FR"/>
        </w:rPr>
      </w:pPr>
      <w:r w:rsidRPr="007528C9">
        <w:rPr>
          <w:lang w:val="fr-FR"/>
        </w:rPr>
        <w:t xml:space="preserve">La mise en place d’une API Gateway permet de </w:t>
      </w:r>
      <w:r w:rsidRPr="007528C9">
        <w:rPr>
          <w:b/>
          <w:bCs/>
          <w:lang w:val="fr-FR"/>
        </w:rPr>
        <w:t>centraliser les règles de sécurité</w:t>
      </w:r>
      <w:r w:rsidRPr="007528C9">
        <w:rPr>
          <w:lang w:val="fr-FR"/>
        </w:rPr>
        <w:t xml:space="preserve"> pour l’ensemble du système. Elle prend en charge l’authentification et l’autorisation des requêtes (notamment via les JWT), ce qui garantit un contrôle d’accès cohérent et renforce la sécurité globale de l’application.</w:t>
      </w:r>
    </w:p>
    <w:p w14:paraId="16C6048B" w14:textId="77777777" w:rsidR="007528C9" w:rsidRPr="007528C9" w:rsidRDefault="007528C9" w:rsidP="007528C9">
      <w:pPr>
        <w:rPr>
          <w:rFonts w:eastAsiaTheme="majorEastAsia" w:cstheme="majorBidi"/>
          <w:b/>
          <w:bCs/>
          <w:color w:val="767171" w:themeColor="background2" w:themeShade="80"/>
          <w:sz w:val="28"/>
          <w:szCs w:val="28"/>
          <w:lang w:val="fr-FR"/>
        </w:rPr>
      </w:pPr>
      <w:r w:rsidRPr="007528C9">
        <w:rPr>
          <w:rFonts w:eastAsiaTheme="majorEastAsia" w:cstheme="majorBidi"/>
          <w:b/>
          <w:bCs/>
          <w:color w:val="767171" w:themeColor="background2" w:themeShade="80"/>
          <w:sz w:val="28"/>
          <w:szCs w:val="28"/>
          <w:lang w:val="fr-FR"/>
        </w:rPr>
        <w:t>Autres avantages apportés par l’API Gateway</w:t>
      </w:r>
    </w:p>
    <w:p w14:paraId="45A90F75" w14:textId="77777777" w:rsidR="007528C9" w:rsidRPr="007528C9" w:rsidRDefault="007528C9" w:rsidP="007528C9">
      <w:pPr>
        <w:rPr>
          <w:lang w:val="fr-FR"/>
        </w:rPr>
      </w:pPr>
      <w:r w:rsidRPr="007528C9">
        <w:rPr>
          <w:lang w:val="fr-FR"/>
        </w:rPr>
        <w:t xml:space="preserve">L’API Gateway permet également de gérer des fonctionnalités transverses telles que le </w:t>
      </w:r>
      <w:r w:rsidRPr="007528C9">
        <w:rPr>
          <w:b/>
          <w:bCs/>
          <w:lang w:val="fr-FR"/>
        </w:rPr>
        <w:t>routage des requêtes</w:t>
      </w:r>
      <w:r w:rsidRPr="007528C9">
        <w:rPr>
          <w:lang w:val="fr-FR"/>
        </w:rPr>
        <w:t xml:space="preserve">, la </w:t>
      </w:r>
      <w:r w:rsidRPr="007528C9">
        <w:rPr>
          <w:b/>
          <w:bCs/>
          <w:lang w:val="fr-FR"/>
        </w:rPr>
        <w:t>gestion des erreurs</w:t>
      </w:r>
      <w:r w:rsidRPr="007528C9">
        <w:rPr>
          <w:lang w:val="fr-FR"/>
        </w:rPr>
        <w:t xml:space="preserve">, la </w:t>
      </w:r>
      <w:r w:rsidRPr="007528C9">
        <w:rPr>
          <w:b/>
          <w:bCs/>
          <w:lang w:val="fr-FR"/>
        </w:rPr>
        <w:t xml:space="preserve">limitation du nombre de requêtes (rate </w:t>
      </w:r>
      <w:proofErr w:type="spellStart"/>
      <w:r w:rsidRPr="007528C9">
        <w:rPr>
          <w:b/>
          <w:bCs/>
          <w:lang w:val="fr-FR"/>
        </w:rPr>
        <w:t>limiting</w:t>
      </w:r>
      <w:proofErr w:type="spellEnd"/>
      <w:r w:rsidRPr="007528C9">
        <w:rPr>
          <w:b/>
          <w:bCs/>
          <w:lang w:val="fr-FR"/>
        </w:rPr>
        <w:t>)</w:t>
      </w:r>
      <w:r w:rsidRPr="007528C9">
        <w:rPr>
          <w:lang w:val="fr-FR"/>
        </w:rPr>
        <w:t xml:space="preserve"> et la </w:t>
      </w:r>
      <w:r w:rsidRPr="007528C9">
        <w:rPr>
          <w:b/>
          <w:bCs/>
          <w:lang w:val="fr-FR"/>
        </w:rPr>
        <w:t>surveillance des appels</w:t>
      </w:r>
      <w:r w:rsidRPr="007528C9">
        <w:rPr>
          <w:lang w:val="fr-FR"/>
        </w:rPr>
        <w:t xml:space="preserve">, sans alourdir les </w:t>
      </w:r>
      <w:proofErr w:type="spellStart"/>
      <w:r w:rsidRPr="007528C9">
        <w:rPr>
          <w:lang w:val="fr-FR"/>
        </w:rPr>
        <w:t>microservices</w:t>
      </w:r>
      <w:proofErr w:type="spellEnd"/>
      <w:r w:rsidRPr="007528C9">
        <w:rPr>
          <w:lang w:val="fr-FR"/>
        </w:rPr>
        <w:t>.</w:t>
      </w:r>
    </w:p>
    <w:p w14:paraId="5C9B6E03" w14:textId="77777777" w:rsidR="007528C9" w:rsidRDefault="007528C9" w:rsidP="007528C9">
      <w:pPr>
        <w:rPr>
          <w:lang w:val="fr-FR"/>
        </w:rPr>
      </w:pPr>
    </w:p>
    <w:p w14:paraId="05343C39" w14:textId="77777777" w:rsidR="001D5F9E" w:rsidRPr="001D5F9E" w:rsidRDefault="001D5F9E" w:rsidP="001D5F9E">
      <w:pPr>
        <w:pStyle w:val="Titre2"/>
        <w:rPr>
          <w:lang w:val="fr-FR"/>
        </w:rPr>
      </w:pPr>
      <w:r w:rsidRPr="001D5F9E">
        <w:rPr>
          <w:lang w:val="fr-FR"/>
        </w:rPr>
        <w:lastRenderedPageBreak/>
        <w:t xml:space="preserve">Une base de </w:t>
      </w:r>
      <w:r w:rsidRPr="007C6177">
        <w:rPr>
          <w:lang w:val="fr-FR"/>
        </w:rPr>
        <w:t>données</w:t>
      </w:r>
      <w:r w:rsidRPr="001D5F9E">
        <w:rPr>
          <w:lang w:val="fr-FR"/>
        </w:rPr>
        <w:t xml:space="preserve"> par service</w:t>
      </w:r>
    </w:p>
    <w:p w14:paraId="3FF705B0" w14:textId="77777777" w:rsidR="001D5F9E" w:rsidRPr="001D5F9E" w:rsidRDefault="001D5F9E" w:rsidP="001D5F9E">
      <w:pPr>
        <w:rPr>
          <w:lang w:val="fr-FR"/>
        </w:rPr>
      </w:pPr>
      <w:r w:rsidRPr="001D5F9E">
        <w:rPr>
          <w:lang w:val="fr-FR"/>
        </w:rPr>
        <w:t xml:space="preserve">Disposer d’une </w:t>
      </w:r>
      <w:r w:rsidRPr="001D5F9E">
        <w:rPr>
          <w:b/>
          <w:bCs/>
          <w:lang w:val="fr-FR"/>
        </w:rPr>
        <w:t xml:space="preserve">base de données séparée pour chaque </w:t>
      </w:r>
      <w:proofErr w:type="spellStart"/>
      <w:r w:rsidRPr="001D5F9E">
        <w:rPr>
          <w:b/>
          <w:bCs/>
          <w:lang w:val="fr-FR"/>
        </w:rPr>
        <w:t>microservice</w:t>
      </w:r>
      <w:proofErr w:type="spellEnd"/>
      <w:r w:rsidRPr="001D5F9E">
        <w:rPr>
          <w:lang w:val="fr-FR"/>
        </w:rPr>
        <w:t xml:space="preserve"> permet de découpler les services par domaine métier. Chaque service possède sa propre base de données ainsi que son propre schéma, ce qui garantit une </w:t>
      </w:r>
      <w:r w:rsidRPr="001D5F9E">
        <w:rPr>
          <w:b/>
          <w:bCs/>
          <w:lang w:val="fr-FR"/>
        </w:rPr>
        <w:t>indépendance totale des données</w:t>
      </w:r>
      <w:r w:rsidRPr="001D5F9E">
        <w:rPr>
          <w:lang w:val="fr-FR"/>
        </w:rPr>
        <w:t>.</w:t>
      </w:r>
    </w:p>
    <w:p w14:paraId="02A20682" w14:textId="77777777" w:rsidR="001D5F9E" w:rsidRPr="001D5F9E" w:rsidRDefault="001D5F9E" w:rsidP="001D5F9E">
      <w:pPr>
        <w:rPr>
          <w:lang w:val="fr-FR"/>
        </w:rPr>
      </w:pPr>
      <w:r w:rsidRPr="001D5F9E">
        <w:rPr>
          <w:lang w:val="fr-FR"/>
        </w:rPr>
        <w:t xml:space="preserve">Cette approche permet de </w:t>
      </w:r>
      <w:r w:rsidRPr="001D5F9E">
        <w:rPr>
          <w:b/>
          <w:bCs/>
          <w:lang w:val="fr-FR"/>
        </w:rPr>
        <w:t>faire évoluer ou modifier le schéma de la base de données d’un service</w:t>
      </w:r>
      <w:r w:rsidRPr="001D5F9E">
        <w:rPr>
          <w:lang w:val="fr-FR"/>
        </w:rPr>
        <w:t xml:space="preserve">, comme le service Commandes, </w:t>
      </w:r>
      <w:r w:rsidRPr="001D5F9E">
        <w:rPr>
          <w:b/>
          <w:bCs/>
          <w:lang w:val="fr-FR"/>
        </w:rPr>
        <w:t>sans impacter les autres services</w:t>
      </w:r>
      <w:r w:rsidRPr="001D5F9E">
        <w:rPr>
          <w:lang w:val="fr-FR"/>
        </w:rPr>
        <w:t xml:space="preserve">. Elle facilite également le déploiement indépendant de chaque </w:t>
      </w:r>
      <w:proofErr w:type="spellStart"/>
      <w:r w:rsidRPr="001D5F9E">
        <w:rPr>
          <w:lang w:val="fr-FR"/>
        </w:rPr>
        <w:t>microservice</w:t>
      </w:r>
      <w:proofErr w:type="spellEnd"/>
      <w:r w:rsidRPr="001D5F9E">
        <w:rPr>
          <w:lang w:val="fr-FR"/>
        </w:rPr>
        <w:t xml:space="preserve"> et permet d’assigner la gestion de chaque service à une équipe spécifique, en cohérence avec le découpage fonctionnel du système.</w:t>
      </w:r>
    </w:p>
    <w:p w14:paraId="6D192D28" w14:textId="77777777" w:rsidR="001D5F9E" w:rsidRPr="001D5F9E" w:rsidRDefault="001D5F9E" w:rsidP="001D5F9E">
      <w:pPr>
        <w:pStyle w:val="Titre2"/>
        <w:rPr>
          <w:lang w:val="fr-FR"/>
        </w:rPr>
      </w:pPr>
      <w:r w:rsidRPr="001D5F9E">
        <w:rPr>
          <w:lang w:val="fr-FR"/>
        </w:rPr>
        <w:t xml:space="preserve">Pourquoi une base de </w:t>
      </w:r>
      <w:r w:rsidRPr="007C6177">
        <w:rPr>
          <w:lang w:val="fr-FR"/>
        </w:rPr>
        <w:t>données</w:t>
      </w:r>
      <w:r w:rsidRPr="001D5F9E">
        <w:rPr>
          <w:lang w:val="fr-FR"/>
        </w:rPr>
        <w:t xml:space="preserve"> relationnelle</w:t>
      </w:r>
    </w:p>
    <w:p w14:paraId="79E63869" w14:textId="77777777" w:rsidR="001D5F9E" w:rsidRPr="001D5F9E" w:rsidRDefault="001D5F9E" w:rsidP="001D5F9E">
      <w:pPr>
        <w:rPr>
          <w:lang w:val="fr-FR"/>
        </w:rPr>
      </w:pPr>
      <w:r w:rsidRPr="001D5F9E">
        <w:rPr>
          <w:lang w:val="fr-FR"/>
        </w:rPr>
        <w:t xml:space="preserve">Les services </w:t>
      </w:r>
      <w:r w:rsidRPr="001D5F9E">
        <w:rPr>
          <w:b/>
          <w:bCs/>
          <w:lang w:val="fr-FR"/>
        </w:rPr>
        <w:t>Commandes</w:t>
      </w:r>
      <w:r w:rsidRPr="001D5F9E">
        <w:rPr>
          <w:lang w:val="fr-FR"/>
        </w:rPr>
        <w:t xml:space="preserve">, </w:t>
      </w:r>
      <w:r w:rsidRPr="001D5F9E">
        <w:rPr>
          <w:b/>
          <w:bCs/>
          <w:lang w:val="fr-FR"/>
        </w:rPr>
        <w:t>Paiement</w:t>
      </w:r>
      <w:r w:rsidRPr="001D5F9E">
        <w:rPr>
          <w:lang w:val="fr-FR"/>
        </w:rPr>
        <w:t xml:space="preserve"> et </w:t>
      </w:r>
      <w:r w:rsidRPr="001D5F9E">
        <w:rPr>
          <w:b/>
          <w:bCs/>
          <w:lang w:val="fr-FR"/>
        </w:rPr>
        <w:t>Stock</w:t>
      </w:r>
      <w:r w:rsidRPr="001D5F9E">
        <w:rPr>
          <w:lang w:val="fr-FR"/>
        </w:rPr>
        <w:t xml:space="preserve"> sont chacun connectés à une </w:t>
      </w:r>
      <w:r w:rsidRPr="001D5F9E">
        <w:rPr>
          <w:b/>
          <w:bCs/>
          <w:lang w:val="fr-FR"/>
        </w:rPr>
        <w:t>base de données relationnelle</w:t>
      </w:r>
      <w:r w:rsidRPr="001D5F9E">
        <w:rPr>
          <w:lang w:val="fr-FR"/>
        </w:rPr>
        <w:t xml:space="preserve">. Ce choix s’explique par la nature structurée des données manipulées par ces services, qui présentent des </w:t>
      </w:r>
      <w:r w:rsidRPr="001D5F9E">
        <w:rPr>
          <w:b/>
          <w:bCs/>
          <w:lang w:val="fr-FR"/>
        </w:rPr>
        <w:t>relations claires</w:t>
      </w:r>
      <w:r w:rsidRPr="001D5F9E">
        <w:rPr>
          <w:lang w:val="fr-FR"/>
        </w:rPr>
        <w:t xml:space="preserve"> entre les entités (commandes, clients, paiements, produits, stocks).</w:t>
      </w:r>
    </w:p>
    <w:p w14:paraId="100F0F1B" w14:textId="77777777" w:rsidR="001D5F9E" w:rsidRPr="001D5F9E" w:rsidRDefault="001D5F9E" w:rsidP="001D5F9E">
      <w:pPr>
        <w:rPr>
          <w:lang w:val="fr-FR"/>
        </w:rPr>
      </w:pPr>
      <w:r w:rsidRPr="001D5F9E">
        <w:rPr>
          <w:lang w:val="fr-FR"/>
        </w:rPr>
        <w:t xml:space="preserve">Les bases de données relationnelles permettent également l’exécution de </w:t>
      </w:r>
      <w:r w:rsidRPr="001D5F9E">
        <w:rPr>
          <w:b/>
          <w:bCs/>
          <w:lang w:val="fr-FR"/>
        </w:rPr>
        <w:t>requêtes complexes</w:t>
      </w:r>
      <w:r w:rsidRPr="001D5F9E">
        <w:rPr>
          <w:lang w:val="fr-FR"/>
        </w:rPr>
        <w:t>, notamment avec des jointures, tout en garantissant l’intégrité des données grâce aux contraintes transactionnelles.</w:t>
      </w:r>
    </w:p>
    <w:p w14:paraId="68AE6ACD" w14:textId="77777777" w:rsidR="001D5F9E" w:rsidRPr="001D5F9E" w:rsidRDefault="001D5F9E" w:rsidP="001D5F9E">
      <w:pPr>
        <w:pStyle w:val="Titre2"/>
        <w:rPr>
          <w:lang w:val="fr-FR"/>
        </w:rPr>
      </w:pPr>
      <w:r w:rsidRPr="001D5F9E">
        <w:rPr>
          <w:lang w:val="fr-FR"/>
        </w:rPr>
        <w:t>Pourquoi une base de données non relationnelle</w:t>
      </w:r>
    </w:p>
    <w:p w14:paraId="064421A7" w14:textId="77777777" w:rsidR="001D5F9E" w:rsidRPr="001D5F9E" w:rsidRDefault="001D5F9E" w:rsidP="001D5F9E">
      <w:pPr>
        <w:rPr>
          <w:lang w:val="fr-FR"/>
        </w:rPr>
      </w:pPr>
      <w:r w:rsidRPr="001D5F9E">
        <w:rPr>
          <w:lang w:val="fr-FR"/>
        </w:rPr>
        <w:t xml:space="preserve">Le service </w:t>
      </w:r>
      <w:r w:rsidRPr="001D5F9E">
        <w:rPr>
          <w:b/>
          <w:bCs/>
          <w:lang w:val="fr-FR"/>
        </w:rPr>
        <w:t>Livraison</w:t>
      </w:r>
      <w:r w:rsidRPr="001D5F9E">
        <w:rPr>
          <w:lang w:val="fr-FR"/>
        </w:rPr>
        <w:t xml:space="preserve"> est connecté à une </w:t>
      </w:r>
      <w:r w:rsidRPr="001D5F9E">
        <w:rPr>
          <w:b/>
          <w:bCs/>
          <w:lang w:val="fr-FR"/>
        </w:rPr>
        <w:t>base de données non relationnelle</w:t>
      </w:r>
      <w:r w:rsidRPr="001D5F9E">
        <w:rPr>
          <w:lang w:val="fr-FR"/>
        </w:rPr>
        <w:t xml:space="preserve">. Ce service traite des informations liées aux trajets de livraison, telles que l’historique des déplacements et la </w:t>
      </w:r>
      <w:r w:rsidRPr="001D5F9E">
        <w:rPr>
          <w:b/>
          <w:bCs/>
          <w:lang w:val="fr-FR"/>
        </w:rPr>
        <w:t>dernière position connue du livreur</w:t>
      </w:r>
      <w:r w:rsidRPr="001D5F9E">
        <w:rPr>
          <w:lang w:val="fr-FR"/>
        </w:rPr>
        <w:t>, qui sont des données plus dynamiques et moins structurées.</w:t>
      </w:r>
    </w:p>
    <w:p w14:paraId="7ECBBBB6" w14:textId="77777777" w:rsidR="001D5F9E" w:rsidRPr="001D5F9E" w:rsidRDefault="001D5F9E" w:rsidP="001D5F9E">
      <w:pPr>
        <w:rPr>
          <w:lang w:val="fr-FR"/>
        </w:rPr>
      </w:pPr>
      <w:r w:rsidRPr="001D5F9E">
        <w:rPr>
          <w:lang w:val="fr-FR"/>
        </w:rPr>
        <w:t xml:space="preserve">L’utilisation d’une base de données non relationnelle permet une </w:t>
      </w:r>
      <w:r w:rsidRPr="001D5F9E">
        <w:rPr>
          <w:b/>
          <w:bCs/>
          <w:lang w:val="fr-FR"/>
        </w:rPr>
        <w:t>meilleure flexibilité du schéma</w:t>
      </w:r>
      <w:r w:rsidRPr="001D5F9E">
        <w:rPr>
          <w:lang w:val="fr-FR"/>
        </w:rPr>
        <w:t>, une gestion efficace des mises à jour fréquentes et de bonnes performances pour le stockage et la consultation des données en temps réel.</w:t>
      </w:r>
    </w:p>
    <w:p w14:paraId="6D46D34B" w14:textId="2CD6984A" w:rsidR="007C6177" w:rsidRDefault="007C6177">
      <w:pPr>
        <w:rPr>
          <w:lang w:val="fr-FR"/>
        </w:rPr>
      </w:pPr>
      <w:r>
        <w:rPr>
          <w:lang w:val="fr-FR"/>
        </w:rPr>
        <w:br w:type="page"/>
      </w:r>
    </w:p>
    <w:p w14:paraId="660DE64B" w14:textId="4DE50B38" w:rsidR="007C6177" w:rsidRPr="007528C9" w:rsidRDefault="007C6177" w:rsidP="007C6177">
      <w:pPr>
        <w:pStyle w:val="Titre2"/>
        <w:rPr>
          <w:lang w:val="fr-FR"/>
        </w:rPr>
      </w:pPr>
      <w:r w:rsidRPr="007C6177">
        <w:rPr>
          <w:lang w:val="fr-FR"/>
        </w:rPr>
        <w:lastRenderedPageBreak/>
        <w:t>Matrice de choix – Fournisseur Cloud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4843"/>
        <w:gridCol w:w="1148"/>
        <w:gridCol w:w="597"/>
        <w:gridCol w:w="694"/>
        <w:gridCol w:w="1390"/>
      </w:tblGrid>
      <w:tr w:rsidR="007C6177" w:rsidRPr="007C6177" w14:paraId="7A2F3C06" w14:textId="77777777" w:rsidTr="007C6177">
        <w:trPr>
          <w:tblHeader/>
          <w:tblCellSpacing w:w="15" w:type="dxa"/>
        </w:trPr>
        <w:tc>
          <w:tcPr>
            <w:tcW w:w="4798" w:type="dxa"/>
            <w:vAlign w:val="center"/>
            <w:hideMark/>
          </w:tcPr>
          <w:p w14:paraId="1D9F40CF" w14:textId="77777777" w:rsidR="007C6177" w:rsidRPr="007C6177" w:rsidRDefault="007C6177" w:rsidP="007C6177">
            <w:pPr>
              <w:rPr>
                <w:b/>
                <w:bCs/>
              </w:rPr>
            </w:pPr>
            <w:r w:rsidRPr="007C6177">
              <w:rPr>
                <w:b/>
                <w:bCs/>
              </w:rPr>
              <w:t>CRITÈRES</w:t>
            </w:r>
          </w:p>
        </w:tc>
        <w:tc>
          <w:tcPr>
            <w:tcW w:w="1118" w:type="dxa"/>
            <w:vAlign w:val="center"/>
            <w:hideMark/>
          </w:tcPr>
          <w:p w14:paraId="018605DE" w14:textId="77777777" w:rsidR="007C6177" w:rsidRPr="007C6177" w:rsidRDefault="007C6177" w:rsidP="007C6177">
            <w:pPr>
              <w:rPr>
                <w:b/>
                <w:bCs/>
              </w:rPr>
            </w:pPr>
            <w:r w:rsidRPr="007C6177">
              <w:rPr>
                <w:b/>
                <w:bCs/>
              </w:rPr>
              <w:t>Coefficient</w:t>
            </w:r>
          </w:p>
        </w:tc>
        <w:tc>
          <w:tcPr>
            <w:tcW w:w="567" w:type="dxa"/>
            <w:vAlign w:val="center"/>
            <w:hideMark/>
          </w:tcPr>
          <w:p w14:paraId="0D9BBFC3" w14:textId="77777777" w:rsidR="007C6177" w:rsidRPr="007C6177" w:rsidRDefault="007C6177" w:rsidP="007C6177">
            <w:pPr>
              <w:rPr>
                <w:b/>
                <w:bCs/>
              </w:rPr>
            </w:pPr>
            <w:r w:rsidRPr="007C6177">
              <w:rPr>
                <w:b/>
                <w:bCs/>
              </w:rPr>
              <w:t>AWS</w:t>
            </w:r>
          </w:p>
        </w:tc>
        <w:tc>
          <w:tcPr>
            <w:tcW w:w="664" w:type="dxa"/>
            <w:vAlign w:val="center"/>
            <w:hideMark/>
          </w:tcPr>
          <w:p w14:paraId="2B185277" w14:textId="77777777" w:rsidR="007C6177" w:rsidRPr="007C6177" w:rsidRDefault="007C6177" w:rsidP="007C6177">
            <w:pPr>
              <w:rPr>
                <w:b/>
                <w:bCs/>
              </w:rPr>
            </w:pPr>
            <w:r w:rsidRPr="007C6177">
              <w:rPr>
                <w:b/>
                <w:bCs/>
              </w:rPr>
              <w:t>Azure</w:t>
            </w:r>
          </w:p>
        </w:tc>
        <w:tc>
          <w:tcPr>
            <w:tcW w:w="1345" w:type="dxa"/>
            <w:vAlign w:val="center"/>
            <w:hideMark/>
          </w:tcPr>
          <w:p w14:paraId="5F206E2A" w14:textId="77777777" w:rsidR="007C6177" w:rsidRPr="007C6177" w:rsidRDefault="007C6177" w:rsidP="007C6177">
            <w:pPr>
              <w:rPr>
                <w:b/>
                <w:bCs/>
              </w:rPr>
            </w:pPr>
            <w:r w:rsidRPr="007C6177">
              <w:rPr>
                <w:b/>
                <w:bCs/>
              </w:rPr>
              <w:t>Google Cloud</w:t>
            </w:r>
          </w:p>
        </w:tc>
      </w:tr>
      <w:tr w:rsidR="007C6177" w:rsidRPr="007C6177" w14:paraId="71F98133" w14:textId="77777777" w:rsidTr="007C6177">
        <w:trPr>
          <w:tblCellSpacing w:w="15" w:type="dxa"/>
        </w:trPr>
        <w:tc>
          <w:tcPr>
            <w:tcW w:w="4798" w:type="dxa"/>
            <w:vAlign w:val="center"/>
            <w:hideMark/>
          </w:tcPr>
          <w:p w14:paraId="011EB6F5" w14:textId="77777777" w:rsidR="007C6177" w:rsidRPr="007C6177" w:rsidRDefault="007C6177" w:rsidP="007C6177">
            <w:proofErr w:type="spellStart"/>
            <w:r w:rsidRPr="007C6177">
              <w:t>Coût</w:t>
            </w:r>
            <w:proofErr w:type="spellEnd"/>
          </w:p>
        </w:tc>
        <w:tc>
          <w:tcPr>
            <w:tcW w:w="1118" w:type="dxa"/>
            <w:vAlign w:val="center"/>
            <w:hideMark/>
          </w:tcPr>
          <w:p w14:paraId="125D8363" w14:textId="77777777" w:rsidR="007C6177" w:rsidRPr="007C6177" w:rsidRDefault="007C6177" w:rsidP="007C6177">
            <w:r w:rsidRPr="007C6177">
              <w:t>3</w:t>
            </w:r>
          </w:p>
        </w:tc>
        <w:tc>
          <w:tcPr>
            <w:tcW w:w="567" w:type="dxa"/>
            <w:vAlign w:val="center"/>
            <w:hideMark/>
          </w:tcPr>
          <w:p w14:paraId="28863127" w14:textId="77777777" w:rsidR="007C6177" w:rsidRPr="007C6177" w:rsidRDefault="007C6177" w:rsidP="007C6177">
            <w:r w:rsidRPr="007C6177">
              <w:t>3</w:t>
            </w:r>
          </w:p>
        </w:tc>
        <w:tc>
          <w:tcPr>
            <w:tcW w:w="664" w:type="dxa"/>
            <w:vAlign w:val="center"/>
            <w:hideMark/>
          </w:tcPr>
          <w:p w14:paraId="3F186F63" w14:textId="77777777" w:rsidR="007C6177" w:rsidRPr="007C6177" w:rsidRDefault="007C6177" w:rsidP="007C6177">
            <w:r w:rsidRPr="007C6177">
              <w:t>4</w:t>
            </w:r>
          </w:p>
        </w:tc>
        <w:tc>
          <w:tcPr>
            <w:tcW w:w="1345" w:type="dxa"/>
            <w:vAlign w:val="center"/>
            <w:hideMark/>
          </w:tcPr>
          <w:p w14:paraId="2775EC5D" w14:textId="77777777" w:rsidR="007C6177" w:rsidRPr="007C6177" w:rsidRDefault="007C6177" w:rsidP="007C6177">
            <w:r w:rsidRPr="007C6177">
              <w:t>4</w:t>
            </w:r>
          </w:p>
        </w:tc>
      </w:tr>
      <w:tr w:rsidR="007C6177" w:rsidRPr="007C6177" w14:paraId="7B48770E" w14:textId="77777777" w:rsidTr="007C6177">
        <w:trPr>
          <w:tblCellSpacing w:w="15" w:type="dxa"/>
        </w:trPr>
        <w:tc>
          <w:tcPr>
            <w:tcW w:w="4798" w:type="dxa"/>
            <w:vAlign w:val="center"/>
            <w:hideMark/>
          </w:tcPr>
          <w:p w14:paraId="0BDE846E" w14:textId="77777777" w:rsidR="007C6177" w:rsidRPr="007C6177" w:rsidRDefault="007C6177" w:rsidP="007C6177">
            <w:pPr>
              <w:rPr>
                <w:lang w:val="fr-FR"/>
              </w:rPr>
            </w:pPr>
            <w:r w:rsidRPr="007C6177">
              <w:rPr>
                <w:lang w:val="fr-FR"/>
              </w:rPr>
              <w:t>Facilité de prise en main</w:t>
            </w:r>
          </w:p>
        </w:tc>
        <w:tc>
          <w:tcPr>
            <w:tcW w:w="1118" w:type="dxa"/>
            <w:vAlign w:val="center"/>
            <w:hideMark/>
          </w:tcPr>
          <w:p w14:paraId="728B3006" w14:textId="77777777" w:rsidR="007C6177" w:rsidRPr="007C6177" w:rsidRDefault="007C6177" w:rsidP="007C6177">
            <w:r w:rsidRPr="007C6177">
              <w:t>3</w:t>
            </w:r>
          </w:p>
        </w:tc>
        <w:tc>
          <w:tcPr>
            <w:tcW w:w="567" w:type="dxa"/>
            <w:vAlign w:val="center"/>
            <w:hideMark/>
          </w:tcPr>
          <w:p w14:paraId="60BE3BA2" w14:textId="77777777" w:rsidR="007C6177" w:rsidRPr="007C6177" w:rsidRDefault="007C6177" w:rsidP="007C6177">
            <w:r w:rsidRPr="007C6177">
              <w:t>3</w:t>
            </w:r>
          </w:p>
        </w:tc>
        <w:tc>
          <w:tcPr>
            <w:tcW w:w="664" w:type="dxa"/>
            <w:vAlign w:val="center"/>
            <w:hideMark/>
          </w:tcPr>
          <w:p w14:paraId="7D028D97" w14:textId="77777777" w:rsidR="007C6177" w:rsidRPr="007C6177" w:rsidRDefault="007C6177" w:rsidP="007C6177">
            <w:r w:rsidRPr="007C6177">
              <w:t>4</w:t>
            </w:r>
          </w:p>
        </w:tc>
        <w:tc>
          <w:tcPr>
            <w:tcW w:w="1345" w:type="dxa"/>
            <w:vAlign w:val="center"/>
            <w:hideMark/>
          </w:tcPr>
          <w:p w14:paraId="65FECE97" w14:textId="77777777" w:rsidR="007C6177" w:rsidRPr="007C6177" w:rsidRDefault="007C6177" w:rsidP="007C6177">
            <w:r w:rsidRPr="007C6177">
              <w:t>3</w:t>
            </w:r>
          </w:p>
        </w:tc>
      </w:tr>
      <w:tr w:rsidR="007C6177" w:rsidRPr="007C6177" w14:paraId="72AF8772" w14:textId="77777777" w:rsidTr="007C6177">
        <w:trPr>
          <w:tblCellSpacing w:w="15" w:type="dxa"/>
        </w:trPr>
        <w:tc>
          <w:tcPr>
            <w:tcW w:w="4798" w:type="dxa"/>
            <w:vAlign w:val="center"/>
            <w:hideMark/>
          </w:tcPr>
          <w:p w14:paraId="232021BA" w14:textId="77777777" w:rsidR="007C6177" w:rsidRDefault="007C6177" w:rsidP="007C6177">
            <w:pPr>
              <w:rPr>
                <w:lang w:val="fr-FR"/>
              </w:rPr>
            </w:pPr>
            <w:r w:rsidRPr="007C6177">
              <w:rPr>
                <w:lang w:val="fr-FR"/>
              </w:rPr>
              <w:t>Intégration avec les technologies</w:t>
            </w:r>
          </w:p>
          <w:p w14:paraId="260C4C1F" w14:textId="6AD25BFE" w:rsidR="007C6177" w:rsidRPr="007C6177" w:rsidRDefault="007C6177" w:rsidP="007C6177">
            <w:pPr>
              <w:rPr>
                <w:lang w:val="fr-FR"/>
              </w:rPr>
            </w:pPr>
            <w:r w:rsidRPr="007C6177">
              <w:rPr>
                <w:lang w:val="fr-FR"/>
              </w:rPr>
              <w:t xml:space="preserve"> (</w:t>
            </w:r>
            <w:proofErr w:type="gramStart"/>
            <w:r w:rsidRPr="007C6177">
              <w:rPr>
                <w:lang w:val="fr-FR"/>
              </w:rPr>
              <w:t>.NET</w:t>
            </w:r>
            <w:proofErr w:type="gramEnd"/>
            <w:r w:rsidRPr="007C6177">
              <w:rPr>
                <w:lang w:val="fr-FR"/>
              </w:rPr>
              <w:t>, Spring, Node)</w:t>
            </w:r>
          </w:p>
        </w:tc>
        <w:tc>
          <w:tcPr>
            <w:tcW w:w="1118" w:type="dxa"/>
            <w:vAlign w:val="center"/>
            <w:hideMark/>
          </w:tcPr>
          <w:p w14:paraId="40D11ACD" w14:textId="77777777" w:rsidR="007C6177" w:rsidRPr="007C6177" w:rsidRDefault="007C6177" w:rsidP="007C6177">
            <w:r w:rsidRPr="007C6177">
              <w:t>4</w:t>
            </w:r>
          </w:p>
        </w:tc>
        <w:tc>
          <w:tcPr>
            <w:tcW w:w="567" w:type="dxa"/>
            <w:vAlign w:val="center"/>
            <w:hideMark/>
          </w:tcPr>
          <w:p w14:paraId="30FE06A3" w14:textId="77777777" w:rsidR="007C6177" w:rsidRPr="007C6177" w:rsidRDefault="007C6177" w:rsidP="007C6177">
            <w:r w:rsidRPr="007C6177">
              <w:t>4</w:t>
            </w:r>
          </w:p>
        </w:tc>
        <w:tc>
          <w:tcPr>
            <w:tcW w:w="664" w:type="dxa"/>
            <w:vAlign w:val="center"/>
            <w:hideMark/>
          </w:tcPr>
          <w:p w14:paraId="1C515EBA" w14:textId="77777777" w:rsidR="007C6177" w:rsidRPr="007C6177" w:rsidRDefault="007C6177" w:rsidP="007C6177">
            <w:r w:rsidRPr="007C6177">
              <w:t>5</w:t>
            </w:r>
          </w:p>
        </w:tc>
        <w:tc>
          <w:tcPr>
            <w:tcW w:w="1345" w:type="dxa"/>
            <w:vAlign w:val="center"/>
            <w:hideMark/>
          </w:tcPr>
          <w:p w14:paraId="78ABD24B" w14:textId="77777777" w:rsidR="007C6177" w:rsidRPr="007C6177" w:rsidRDefault="007C6177" w:rsidP="007C6177">
            <w:r w:rsidRPr="007C6177">
              <w:t>3</w:t>
            </w:r>
          </w:p>
        </w:tc>
      </w:tr>
      <w:tr w:rsidR="007C6177" w:rsidRPr="007C6177" w14:paraId="4ECACCC0" w14:textId="77777777" w:rsidTr="007C6177">
        <w:trPr>
          <w:tblCellSpacing w:w="15" w:type="dxa"/>
        </w:trPr>
        <w:tc>
          <w:tcPr>
            <w:tcW w:w="4798" w:type="dxa"/>
            <w:vAlign w:val="center"/>
            <w:hideMark/>
          </w:tcPr>
          <w:p w14:paraId="52EC1886" w14:textId="77777777" w:rsidR="007C6177" w:rsidRPr="007C6177" w:rsidRDefault="007C6177" w:rsidP="007C6177">
            <w:r w:rsidRPr="007C6177">
              <w:t xml:space="preserve">Services </w:t>
            </w:r>
            <w:proofErr w:type="spellStart"/>
            <w:r w:rsidRPr="007C6177">
              <w:t>managés</w:t>
            </w:r>
            <w:proofErr w:type="spellEnd"/>
            <w:r w:rsidRPr="007C6177">
              <w:t xml:space="preserve"> microservices</w:t>
            </w:r>
          </w:p>
        </w:tc>
        <w:tc>
          <w:tcPr>
            <w:tcW w:w="1118" w:type="dxa"/>
            <w:vAlign w:val="center"/>
            <w:hideMark/>
          </w:tcPr>
          <w:p w14:paraId="4675AD1D" w14:textId="77777777" w:rsidR="007C6177" w:rsidRPr="007C6177" w:rsidRDefault="007C6177" w:rsidP="007C6177">
            <w:r w:rsidRPr="007C6177">
              <w:t>4</w:t>
            </w:r>
          </w:p>
        </w:tc>
        <w:tc>
          <w:tcPr>
            <w:tcW w:w="567" w:type="dxa"/>
            <w:vAlign w:val="center"/>
            <w:hideMark/>
          </w:tcPr>
          <w:p w14:paraId="2B7F029C" w14:textId="77777777" w:rsidR="007C6177" w:rsidRPr="007C6177" w:rsidRDefault="007C6177" w:rsidP="007C6177">
            <w:r w:rsidRPr="007C6177">
              <w:t>5</w:t>
            </w:r>
          </w:p>
        </w:tc>
        <w:tc>
          <w:tcPr>
            <w:tcW w:w="664" w:type="dxa"/>
            <w:vAlign w:val="center"/>
            <w:hideMark/>
          </w:tcPr>
          <w:p w14:paraId="4293E2AE" w14:textId="77777777" w:rsidR="007C6177" w:rsidRPr="007C6177" w:rsidRDefault="007C6177" w:rsidP="007C6177">
            <w:r w:rsidRPr="007C6177">
              <w:t>5</w:t>
            </w:r>
          </w:p>
        </w:tc>
        <w:tc>
          <w:tcPr>
            <w:tcW w:w="1345" w:type="dxa"/>
            <w:vAlign w:val="center"/>
            <w:hideMark/>
          </w:tcPr>
          <w:p w14:paraId="3E6BF60B" w14:textId="77777777" w:rsidR="007C6177" w:rsidRPr="007C6177" w:rsidRDefault="007C6177" w:rsidP="007C6177">
            <w:r w:rsidRPr="007C6177">
              <w:t>4</w:t>
            </w:r>
          </w:p>
        </w:tc>
      </w:tr>
      <w:tr w:rsidR="007C6177" w:rsidRPr="007C6177" w14:paraId="5B936EED" w14:textId="77777777" w:rsidTr="007C6177">
        <w:trPr>
          <w:tblCellSpacing w:w="15" w:type="dxa"/>
        </w:trPr>
        <w:tc>
          <w:tcPr>
            <w:tcW w:w="4798" w:type="dxa"/>
            <w:vAlign w:val="center"/>
            <w:hideMark/>
          </w:tcPr>
          <w:p w14:paraId="551DC9E6" w14:textId="77777777" w:rsidR="007C6177" w:rsidRPr="007C6177" w:rsidRDefault="007C6177" w:rsidP="007C6177">
            <w:proofErr w:type="spellStart"/>
            <w:r w:rsidRPr="007C6177">
              <w:t>Sécurité</w:t>
            </w:r>
            <w:proofErr w:type="spellEnd"/>
            <w:r w:rsidRPr="007C6177">
              <w:t xml:space="preserve"> et </w:t>
            </w:r>
            <w:proofErr w:type="spellStart"/>
            <w:r w:rsidRPr="007C6177">
              <w:t>conformité</w:t>
            </w:r>
            <w:proofErr w:type="spellEnd"/>
          </w:p>
        </w:tc>
        <w:tc>
          <w:tcPr>
            <w:tcW w:w="1118" w:type="dxa"/>
            <w:vAlign w:val="center"/>
            <w:hideMark/>
          </w:tcPr>
          <w:p w14:paraId="72D768D3" w14:textId="77777777" w:rsidR="007C6177" w:rsidRPr="007C6177" w:rsidRDefault="007C6177" w:rsidP="007C6177">
            <w:r w:rsidRPr="007C6177">
              <w:t>3</w:t>
            </w:r>
          </w:p>
        </w:tc>
        <w:tc>
          <w:tcPr>
            <w:tcW w:w="567" w:type="dxa"/>
            <w:vAlign w:val="center"/>
            <w:hideMark/>
          </w:tcPr>
          <w:p w14:paraId="4CDD528C" w14:textId="77777777" w:rsidR="007C6177" w:rsidRPr="007C6177" w:rsidRDefault="007C6177" w:rsidP="007C6177">
            <w:r w:rsidRPr="007C6177">
              <w:t>5</w:t>
            </w:r>
          </w:p>
        </w:tc>
        <w:tc>
          <w:tcPr>
            <w:tcW w:w="664" w:type="dxa"/>
            <w:vAlign w:val="center"/>
            <w:hideMark/>
          </w:tcPr>
          <w:p w14:paraId="61B4B447" w14:textId="77777777" w:rsidR="007C6177" w:rsidRPr="007C6177" w:rsidRDefault="007C6177" w:rsidP="007C6177">
            <w:r w:rsidRPr="007C6177">
              <w:t>5</w:t>
            </w:r>
          </w:p>
        </w:tc>
        <w:tc>
          <w:tcPr>
            <w:tcW w:w="1345" w:type="dxa"/>
            <w:vAlign w:val="center"/>
            <w:hideMark/>
          </w:tcPr>
          <w:p w14:paraId="6C74E573" w14:textId="77777777" w:rsidR="007C6177" w:rsidRPr="007C6177" w:rsidRDefault="007C6177" w:rsidP="007C6177">
            <w:r w:rsidRPr="007C6177">
              <w:t>4</w:t>
            </w:r>
          </w:p>
        </w:tc>
      </w:tr>
      <w:tr w:rsidR="007C6177" w:rsidRPr="007C6177" w14:paraId="3EF3CD92" w14:textId="77777777" w:rsidTr="007C6177">
        <w:trPr>
          <w:tblCellSpacing w:w="15" w:type="dxa"/>
        </w:trPr>
        <w:tc>
          <w:tcPr>
            <w:tcW w:w="4798" w:type="dxa"/>
            <w:vAlign w:val="center"/>
            <w:hideMark/>
          </w:tcPr>
          <w:p w14:paraId="42136791" w14:textId="77777777" w:rsidR="007C6177" w:rsidRPr="007C6177" w:rsidRDefault="007C6177" w:rsidP="007C6177">
            <w:r w:rsidRPr="007C6177">
              <w:rPr>
                <w:b/>
                <w:bCs/>
              </w:rPr>
              <w:t xml:space="preserve">Total </w:t>
            </w:r>
            <w:proofErr w:type="spellStart"/>
            <w:r w:rsidRPr="007C6177">
              <w:rPr>
                <w:b/>
                <w:bCs/>
              </w:rPr>
              <w:t>pondéré</w:t>
            </w:r>
            <w:proofErr w:type="spellEnd"/>
          </w:p>
        </w:tc>
        <w:tc>
          <w:tcPr>
            <w:tcW w:w="1118" w:type="dxa"/>
            <w:vAlign w:val="center"/>
            <w:hideMark/>
          </w:tcPr>
          <w:p w14:paraId="7D790DF9" w14:textId="77777777" w:rsidR="007C6177" w:rsidRPr="007C6177" w:rsidRDefault="007C6177" w:rsidP="007C6177"/>
        </w:tc>
        <w:tc>
          <w:tcPr>
            <w:tcW w:w="567" w:type="dxa"/>
            <w:vAlign w:val="center"/>
            <w:hideMark/>
          </w:tcPr>
          <w:p w14:paraId="281A03AB" w14:textId="77777777" w:rsidR="007C6177" w:rsidRPr="007C6177" w:rsidRDefault="007C6177" w:rsidP="007C6177">
            <w:r w:rsidRPr="007C6177">
              <w:rPr>
                <w:b/>
                <w:bCs/>
              </w:rPr>
              <w:t>59</w:t>
            </w:r>
          </w:p>
        </w:tc>
        <w:tc>
          <w:tcPr>
            <w:tcW w:w="664" w:type="dxa"/>
            <w:vAlign w:val="center"/>
            <w:hideMark/>
          </w:tcPr>
          <w:p w14:paraId="090B747E" w14:textId="77777777" w:rsidR="007C6177" w:rsidRPr="007C6177" w:rsidRDefault="007C6177" w:rsidP="007C6177">
            <w:r w:rsidRPr="007C6177">
              <w:rPr>
                <w:b/>
                <w:bCs/>
              </w:rPr>
              <w:t>67</w:t>
            </w:r>
          </w:p>
        </w:tc>
        <w:tc>
          <w:tcPr>
            <w:tcW w:w="1345" w:type="dxa"/>
            <w:vAlign w:val="center"/>
            <w:hideMark/>
          </w:tcPr>
          <w:p w14:paraId="1780B030" w14:textId="77777777" w:rsidR="007C6177" w:rsidRPr="007C6177" w:rsidRDefault="007C6177" w:rsidP="007C6177">
            <w:r w:rsidRPr="007C6177">
              <w:rPr>
                <w:b/>
                <w:bCs/>
              </w:rPr>
              <w:t>55</w:t>
            </w:r>
          </w:p>
        </w:tc>
      </w:tr>
    </w:tbl>
    <w:p w14:paraId="7BA309A8" w14:textId="1A21A853" w:rsidR="00CD54D2" w:rsidRDefault="00CD54D2" w:rsidP="00684E14">
      <w:pPr>
        <w:rPr>
          <w:lang w:val="fr-FR"/>
        </w:rPr>
      </w:pPr>
    </w:p>
    <w:p w14:paraId="00C4F03D" w14:textId="77777777" w:rsidR="007C6177" w:rsidRPr="007C6177" w:rsidRDefault="007C6177" w:rsidP="007C6177">
      <w:pPr>
        <w:rPr>
          <w:b/>
          <w:bCs/>
          <w:lang w:val="fr-FR"/>
        </w:rPr>
      </w:pPr>
      <w:r w:rsidRPr="007C6177">
        <w:rPr>
          <w:b/>
          <w:bCs/>
          <w:lang w:val="fr-FR"/>
        </w:rPr>
        <w:t>Choix retenu : Microsoft Azure</w:t>
      </w:r>
    </w:p>
    <w:p w14:paraId="27085033" w14:textId="77777777" w:rsidR="007C6177" w:rsidRDefault="007C6177" w:rsidP="007C6177">
      <w:pPr>
        <w:pStyle w:val="Titre2"/>
        <w:rPr>
          <w:lang w:val="fr-FR"/>
        </w:rPr>
      </w:pPr>
      <w:r w:rsidRPr="007C6177">
        <w:rPr>
          <w:lang w:val="fr-FR"/>
        </w:rPr>
        <w:t>Justification</w:t>
      </w:r>
      <w:r>
        <w:rPr>
          <w:lang w:val="fr-FR"/>
        </w:rPr>
        <w:t xml:space="preserve"> de cloud</w:t>
      </w:r>
    </w:p>
    <w:p w14:paraId="1E410910" w14:textId="5FA6CAFD" w:rsidR="007C6177" w:rsidRPr="007C6177" w:rsidRDefault="007C6177" w:rsidP="007C6177">
      <w:pPr>
        <w:rPr>
          <w:b/>
          <w:bCs/>
          <w:lang w:val="fr-FR"/>
        </w:rPr>
      </w:pPr>
      <w:r w:rsidRPr="007C6177">
        <w:rPr>
          <w:lang w:val="fr-FR"/>
        </w:rPr>
        <w:t>Azure obtient le meilleur score global grâce à son excellente intégration avec les technologies utilisées dans le projet, la richesse de ses services managés et sa facilité de prise en main, tout en garantissant un haut niveau de sécurité.</w:t>
      </w:r>
    </w:p>
    <w:p w14:paraId="6B939E40" w14:textId="409C0170" w:rsidR="007C6177" w:rsidRPr="007C6177" w:rsidRDefault="007C6177" w:rsidP="007C6177">
      <w:pPr>
        <w:pStyle w:val="Titre2"/>
        <w:rPr>
          <w:lang w:val="fr-FR"/>
        </w:rPr>
      </w:pPr>
      <w:r w:rsidRPr="007C6177">
        <w:rPr>
          <w:lang w:val="fr-FR"/>
        </w:rPr>
        <w:t>Matrice de choix – Broker de messages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55"/>
        <w:gridCol w:w="1170"/>
        <w:gridCol w:w="1260"/>
        <w:gridCol w:w="1440"/>
      </w:tblGrid>
      <w:tr w:rsidR="007C6177" w:rsidRPr="007C6177" w14:paraId="63B31CA1" w14:textId="77777777" w:rsidTr="007C6177">
        <w:trPr>
          <w:tblHeader/>
          <w:tblCellSpacing w:w="15" w:type="dxa"/>
        </w:trPr>
        <w:tc>
          <w:tcPr>
            <w:tcW w:w="4810" w:type="dxa"/>
            <w:vAlign w:val="center"/>
            <w:hideMark/>
          </w:tcPr>
          <w:p w14:paraId="296805DA" w14:textId="77777777" w:rsidR="007C6177" w:rsidRPr="007C6177" w:rsidRDefault="007C6177" w:rsidP="007C6177">
            <w:pPr>
              <w:rPr>
                <w:b/>
                <w:bCs/>
              </w:rPr>
            </w:pPr>
            <w:r w:rsidRPr="007C6177">
              <w:rPr>
                <w:b/>
                <w:bCs/>
              </w:rPr>
              <w:t>CRITÈRES</w:t>
            </w:r>
          </w:p>
        </w:tc>
        <w:tc>
          <w:tcPr>
            <w:tcW w:w="1140" w:type="dxa"/>
            <w:vAlign w:val="center"/>
            <w:hideMark/>
          </w:tcPr>
          <w:p w14:paraId="16B53C7D" w14:textId="77777777" w:rsidR="007C6177" w:rsidRPr="007C6177" w:rsidRDefault="007C6177" w:rsidP="007C6177">
            <w:pPr>
              <w:rPr>
                <w:b/>
                <w:bCs/>
              </w:rPr>
            </w:pPr>
            <w:r w:rsidRPr="007C6177">
              <w:rPr>
                <w:b/>
                <w:bCs/>
              </w:rPr>
              <w:t>Coefficient</w:t>
            </w:r>
          </w:p>
        </w:tc>
        <w:tc>
          <w:tcPr>
            <w:tcW w:w="1230" w:type="dxa"/>
            <w:vAlign w:val="center"/>
            <w:hideMark/>
          </w:tcPr>
          <w:p w14:paraId="41DE350B" w14:textId="77777777" w:rsidR="007C6177" w:rsidRPr="007C6177" w:rsidRDefault="007C6177" w:rsidP="007C6177">
            <w:pPr>
              <w:rPr>
                <w:b/>
                <w:bCs/>
              </w:rPr>
            </w:pPr>
            <w:r w:rsidRPr="007C6177">
              <w:rPr>
                <w:b/>
                <w:bCs/>
              </w:rPr>
              <w:t>Kafka</w:t>
            </w:r>
          </w:p>
        </w:tc>
        <w:tc>
          <w:tcPr>
            <w:tcW w:w="1395" w:type="dxa"/>
            <w:vAlign w:val="center"/>
            <w:hideMark/>
          </w:tcPr>
          <w:p w14:paraId="04A5B23A" w14:textId="77777777" w:rsidR="007C6177" w:rsidRPr="007C6177" w:rsidRDefault="007C6177" w:rsidP="007C6177">
            <w:pPr>
              <w:rPr>
                <w:b/>
                <w:bCs/>
              </w:rPr>
            </w:pPr>
            <w:r w:rsidRPr="007C6177">
              <w:rPr>
                <w:b/>
                <w:bCs/>
              </w:rPr>
              <w:t>RabbitMQ</w:t>
            </w:r>
          </w:p>
        </w:tc>
      </w:tr>
      <w:tr w:rsidR="007C6177" w:rsidRPr="007C6177" w14:paraId="43105F06" w14:textId="77777777" w:rsidTr="007C6177">
        <w:trPr>
          <w:tblCellSpacing w:w="15" w:type="dxa"/>
        </w:trPr>
        <w:tc>
          <w:tcPr>
            <w:tcW w:w="4810" w:type="dxa"/>
            <w:vAlign w:val="center"/>
            <w:hideMark/>
          </w:tcPr>
          <w:p w14:paraId="695E4A37" w14:textId="77777777" w:rsidR="007C6177" w:rsidRPr="007C6177" w:rsidRDefault="007C6177" w:rsidP="007C6177">
            <w:proofErr w:type="spellStart"/>
            <w:r w:rsidRPr="007C6177">
              <w:t>Facilité</w:t>
            </w:r>
            <w:proofErr w:type="spellEnd"/>
            <w:r w:rsidRPr="007C6177">
              <w:t xml:space="preserve"> </w:t>
            </w:r>
            <w:proofErr w:type="spellStart"/>
            <w:r w:rsidRPr="007C6177">
              <w:t>d’implémentation</w:t>
            </w:r>
            <w:proofErr w:type="spellEnd"/>
          </w:p>
        </w:tc>
        <w:tc>
          <w:tcPr>
            <w:tcW w:w="1140" w:type="dxa"/>
            <w:vAlign w:val="center"/>
            <w:hideMark/>
          </w:tcPr>
          <w:p w14:paraId="6152183D" w14:textId="77777777" w:rsidR="007C6177" w:rsidRPr="007C6177" w:rsidRDefault="007C6177" w:rsidP="007C6177">
            <w:r w:rsidRPr="007C6177">
              <w:t>4</w:t>
            </w:r>
          </w:p>
        </w:tc>
        <w:tc>
          <w:tcPr>
            <w:tcW w:w="1230" w:type="dxa"/>
            <w:vAlign w:val="center"/>
            <w:hideMark/>
          </w:tcPr>
          <w:p w14:paraId="2578CA75" w14:textId="77777777" w:rsidR="007C6177" w:rsidRPr="007C6177" w:rsidRDefault="007C6177" w:rsidP="007C6177">
            <w:r w:rsidRPr="007C6177">
              <w:t>2</w:t>
            </w:r>
          </w:p>
        </w:tc>
        <w:tc>
          <w:tcPr>
            <w:tcW w:w="1395" w:type="dxa"/>
            <w:vAlign w:val="center"/>
            <w:hideMark/>
          </w:tcPr>
          <w:p w14:paraId="25FBAC5E" w14:textId="77777777" w:rsidR="007C6177" w:rsidRPr="007C6177" w:rsidRDefault="007C6177" w:rsidP="007C6177">
            <w:r w:rsidRPr="007C6177">
              <w:t>5</w:t>
            </w:r>
          </w:p>
        </w:tc>
      </w:tr>
      <w:tr w:rsidR="007C6177" w:rsidRPr="007C6177" w14:paraId="38B8836A" w14:textId="77777777" w:rsidTr="007C6177">
        <w:trPr>
          <w:tblCellSpacing w:w="15" w:type="dxa"/>
        </w:trPr>
        <w:tc>
          <w:tcPr>
            <w:tcW w:w="4810" w:type="dxa"/>
            <w:vAlign w:val="center"/>
            <w:hideMark/>
          </w:tcPr>
          <w:p w14:paraId="661A50F4" w14:textId="77777777" w:rsidR="007C6177" w:rsidRPr="007C6177" w:rsidRDefault="007C6177" w:rsidP="007C6177">
            <w:proofErr w:type="spellStart"/>
            <w:r w:rsidRPr="007C6177">
              <w:t>Compatibilité</w:t>
            </w:r>
            <w:proofErr w:type="spellEnd"/>
            <w:r w:rsidRPr="007C6177">
              <w:t xml:space="preserve"> multi-technologies</w:t>
            </w:r>
          </w:p>
        </w:tc>
        <w:tc>
          <w:tcPr>
            <w:tcW w:w="1140" w:type="dxa"/>
            <w:vAlign w:val="center"/>
            <w:hideMark/>
          </w:tcPr>
          <w:p w14:paraId="1AA09070" w14:textId="77777777" w:rsidR="007C6177" w:rsidRPr="007C6177" w:rsidRDefault="007C6177" w:rsidP="007C6177">
            <w:r w:rsidRPr="007C6177">
              <w:t>4</w:t>
            </w:r>
          </w:p>
        </w:tc>
        <w:tc>
          <w:tcPr>
            <w:tcW w:w="1230" w:type="dxa"/>
            <w:vAlign w:val="center"/>
            <w:hideMark/>
          </w:tcPr>
          <w:p w14:paraId="1CD1CC77" w14:textId="77777777" w:rsidR="007C6177" w:rsidRPr="007C6177" w:rsidRDefault="007C6177" w:rsidP="007C6177">
            <w:r w:rsidRPr="007C6177">
              <w:t>4</w:t>
            </w:r>
          </w:p>
        </w:tc>
        <w:tc>
          <w:tcPr>
            <w:tcW w:w="1395" w:type="dxa"/>
            <w:vAlign w:val="center"/>
            <w:hideMark/>
          </w:tcPr>
          <w:p w14:paraId="379DB86A" w14:textId="77777777" w:rsidR="007C6177" w:rsidRPr="007C6177" w:rsidRDefault="007C6177" w:rsidP="007C6177">
            <w:r w:rsidRPr="007C6177">
              <w:t>5</w:t>
            </w:r>
          </w:p>
        </w:tc>
      </w:tr>
      <w:tr w:rsidR="007C6177" w:rsidRPr="007C6177" w14:paraId="7065968A" w14:textId="77777777" w:rsidTr="007C6177">
        <w:trPr>
          <w:tblCellSpacing w:w="15" w:type="dxa"/>
        </w:trPr>
        <w:tc>
          <w:tcPr>
            <w:tcW w:w="4810" w:type="dxa"/>
            <w:vAlign w:val="center"/>
            <w:hideMark/>
          </w:tcPr>
          <w:p w14:paraId="1996493C" w14:textId="77777777" w:rsidR="007C6177" w:rsidRPr="007C6177" w:rsidRDefault="007C6177" w:rsidP="007C6177">
            <w:proofErr w:type="spellStart"/>
            <w:r w:rsidRPr="007C6177">
              <w:t>Scalabilité</w:t>
            </w:r>
            <w:proofErr w:type="spellEnd"/>
          </w:p>
        </w:tc>
        <w:tc>
          <w:tcPr>
            <w:tcW w:w="1140" w:type="dxa"/>
            <w:vAlign w:val="center"/>
            <w:hideMark/>
          </w:tcPr>
          <w:p w14:paraId="35844077" w14:textId="77777777" w:rsidR="007C6177" w:rsidRPr="007C6177" w:rsidRDefault="007C6177" w:rsidP="007C6177">
            <w:r w:rsidRPr="007C6177">
              <w:t>3</w:t>
            </w:r>
          </w:p>
        </w:tc>
        <w:tc>
          <w:tcPr>
            <w:tcW w:w="1230" w:type="dxa"/>
            <w:vAlign w:val="center"/>
            <w:hideMark/>
          </w:tcPr>
          <w:p w14:paraId="2DA9DB84" w14:textId="77777777" w:rsidR="007C6177" w:rsidRPr="007C6177" w:rsidRDefault="007C6177" w:rsidP="007C6177">
            <w:r w:rsidRPr="007C6177">
              <w:t>5</w:t>
            </w:r>
          </w:p>
        </w:tc>
        <w:tc>
          <w:tcPr>
            <w:tcW w:w="1395" w:type="dxa"/>
            <w:vAlign w:val="center"/>
            <w:hideMark/>
          </w:tcPr>
          <w:p w14:paraId="685718F6" w14:textId="77777777" w:rsidR="007C6177" w:rsidRPr="007C6177" w:rsidRDefault="007C6177" w:rsidP="007C6177">
            <w:r w:rsidRPr="007C6177">
              <w:t>4</w:t>
            </w:r>
          </w:p>
        </w:tc>
      </w:tr>
      <w:tr w:rsidR="007C6177" w:rsidRPr="007C6177" w14:paraId="70F85B27" w14:textId="77777777" w:rsidTr="007C6177">
        <w:trPr>
          <w:tblCellSpacing w:w="15" w:type="dxa"/>
        </w:trPr>
        <w:tc>
          <w:tcPr>
            <w:tcW w:w="4810" w:type="dxa"/>
            <w:vAlign w:val="center"/>
            <w:hideMark/>
          </w:tcPr>
          <w:p w14:paraId="044D3209" w14:textId="77777777" w:rsidR="007C6177" w:rsidRPr="007C6177" w:rsidRDefault="007C6177" w:rsidP="007C6177">
            <w:proofErr w:type="spellStart"/>
            <w:r w:rsidRPr="007C6177">
              <w:t>Complexité</w:t>
            </w:r>
            <w:proofErr w:type="spellEnd"/>
            <w:r w:rsidRPr="007C6177">
              <w:t xml:space="preserve"> </w:t>
            </w:r>
            <w:proofErr w:type="spellStart"/>
            <w:r w:rsidRPr="007C6177">
              <w:t>opérationnelle</w:t>
            </w:r>
            <w:proofErr w:type="spellEnd"/>
          </w:p>
        </w:tc>
        <w:tc>
          <w:tcPr>
            <w:tcW w:w="1140" w:type="dxa"/>
            <w:vAlign w:val="center"/>
            <w:hideMark/>
          </w:tcPr>
          <w:p w14:paraId="2085272A" w14:textId="77777777" w:rsidR="007C6177" w:rsidRPr="007C6177" w:rsidRDefault="007C6177" w:rsidP="007C6177">
            <w:r w:rsidRPr="007C6177">
              <w:t>3</w:t>
            </w:r>
          </w:p>
        </w:tc>
        <w:tc>
          <w:tcPr>
            <w:tcW w:w="1230" w:type="dxa"/>
            <w:vAlign w:val="center"/>
            <w:hideMark/>
          </w:tcPr>
          <w:p w14:paraId="2F3C29F6" w14:textId="77777777" w:rsidR="007C6177" w:rsidRPr="007C6177" w:rsidRDefault="007C6177" w:rsidP="007C6177">
            <w:r w:rsidRPr="007C6177">
              <w:t>2</w:t>
            </w:r>
          </w:p>
        </w:tc>
        <w:tc>
          <w:tcPr>
            <w:tcW w:w="1395" w:type="dxa"/>
            <w:vAlign w:val="center"/>
            <w:hideMark/>
          </w:tcPr>
          <w:p w14:paraId="32228295" w14:textId="77777777" w:rsidR="007C6177" w:rsidRPr="007C6177" w:rsidRDefault="007C6177" w:rsidP="007C6177">
            <w:r w:rsidRPr="007C6177">
              <w:t>4</w:t>
            </w:r>
          </w:p>
        </w:tc>
      </w:tr>
      <w:tr w:rsidR="007C6177" w:rsidRPr="007C6177" w14:paraId="2CAE6D19" w14:textId="77777777" w:rsidTr="007C6177">
        <w:trPr>
          <w:tblCellSpacing w:w="15" w:type="dxa"/>
        </w:trPr>
        <w:tc>
          <w:tcPr>
            <w:tcW w:w="4810" w:type="dxa"/>
            <w:vAlign w:val="center"/>
            <w:hideMark/>
          </w:tcPr>
          <w:p w14:paraId="02CDDCE2" w14:textId="77777777" w:rsidR="007C6177" w:rsidRPr="007C6177" w:rsidRDefault="007C6177" w:rsidP="007C6177">
            <w:pPr>
              <w:rPr>
                <w:lang w:val="fr-FR"/>
              </w:rPr>
            </w:pPr>
            <w:r w:rsidRPr="007C6177">
              <w:rPr>
                <w:lang w:val="fr-FR"/>
              </w:rPr>
              <w:t>Pertinence pour un projet académique</w:t>
            </w:r>
          </w:p>
        </w:tc>
        <w:tc>
          <w:tcPr>
            <w:tcW w:w="1140" w:type="dxa"/>
            <w:vAlign w:val="center"/>
            <w:hideMark/>
          </w:tcPr>
          <w:p w14:paraId="2E9F8B5E" w14:textId="77777777" w:rsidR="007C6177" w:rsidRPr="007C6177" w:rsidRDefault="007C6177" w:rsidP="007C6177">
            <w:r w:rsidRPr="007C6177">
              <w:t>4</w:t>
            </w:r>
          </w:p>
        </w:tc>
        <w:tc>
          <w:tcPr>
            <w:tcW w:w="1230" w:type="dxa"/>
            <w:vAlign w:val="center"/>
            <w:hideMark/>
          </w:tcPr>
          <w:p w14:paraId="39B250A5" w14:textId="77777777" w:rsidR="007C6177" w:rsidRPr="007C6177" w:rsidRDefault="007C6177" w:rsidP="007C6177">
            <w:r w:rsidRPr="007C6177">
              <w:t>3</w:t>
            </w:r>
          </w:p>
        </w:tc>
        <w:tc>
          <w:tcPr>
            <w:tcW w:w="1395" w:type="dxa"/>
            <w:vAlign w:val="center"/>
            <w:hideMark/>
          </w:tcPr>
          <w:p w14:paraId="08CC9CF7" w14:textId="77777777" w:rsidR="007C6177" w:rsidRPr="007C6177" w:rsidRDefault="007C6177" w:rsidP="007C6177">
            <w:r w:rsidRPr="007C6177">
              <w:t>5</w:t>
            </w:r>
          </w:p>
        </w:tc>
      </w:tr>
      <w:tr w:rsidR="007C6177" w:rsidRPr="007C6177" w14:paraId="036938BA" w14:textId="77777777" w:rsidTr="007C6177">
        <w:trPr>
          <w:tblCellSpacing w:w="15" w:type="dxa"/>
        </w:trPr>
        <w:tc>
          <w:tcPr>
            <w:tcW w:w="4810" w:type="dxa"/>
            <w:vAlign w:val="center"/>
            <w:hideMark/>
          </w:tcPr>
          <w:p w14:paraId="3A9C28DB" w14:textId="77777777" w:rsidR="007C6177" w:rsidRPr="007C6177" w:rsidRDefault="007C6177" w:rsidP="007C6177">
            <w:r w:rsidRPr="007C6177">
              <w:rPr>
                <w:b/>
                <w:bCs/>
              </w:rPr>
              <w:t xml:space="preserve">Total </w:t>
            </w:r>
            <w:proofErr w:type="spellStart"/>
            <w:r w:rsidRPr="007C6177">
              <w:rPr>
                <w:b/>
                <w:bCs/>
              </w:rPr>
              <w:t>pondéré</w:t>
            </w:r>
            <w:proofErr w:type="spellEnd"/>
          </w:p>
        </w:tc>
        <w:tc>
          <w:tcPr>
            <w:tcW w:w="1140" w:type="dxa"/>
            <w:vAlign w:val="center"/>
            <w:hideMark/>
          </w:tcPr>
          <w:p w14:paraId="13D82C0F" w14:textId="77777777" w:rsidR="007C6177" w:rsidRPr="007C6177" w:rsidRDefault="007C6177" w:rsidP="007C6177"/>
        </w:tc>
        <w:tc>
          <w:tcPr>
            <w:tcW w:w="1230" w:type="dxa"/>
            <w:vAlign w:val="center"/>
            <w:hideMark/>
          </w:tcPr>
          <w:p w14:paraId="671EEE66" w14:textId="77777777" w:rsidR="007C6177" w:rsidRPr="007C6177" w:rsidRDefault="007C6177" w:rsidP="007C6177">
            <w:r w:rsidRPr="007C6177">
              <w:rPr>
                <w:b/>
                <w:bCs/>
              </w:rPr>
              <w:t>52</w:t>
            </w:r>
          </w:p>
        </w:tc>
        <w:tc>
          <w:tcPr>
            <w:tcW w:w="1395" w:type="dxa"/>
            <w:vAlign w:val="center"/>
            <w:hideMark/>
          </w:tcPr>
          <w:p w14:paraId="28ACACAD" w14:textId="77777777" w:rsidR="007C6177" w:rsidRPr="007C6177" w:rsidRDefault="007C6177" w:rsidP="007C6177">
            <w:r w:rsidRPr="007C6177">
              <w:rPr>
                <w:b/>
                <w:bCs/>
              </w:rPr>
              <w:t>72</w:t>
            </w:r>
          </w:p>
        </w:tc>
      </w:tr>
    </w:tbl>
    <w:p w14:paraId="0E6BE3BF" w14:textId="77777777" w:rsidR="007C6177" w:rsidRDefault="007C6177" w:rsidP="007C6177">
      <w:pPr>
        <w:pStyle w:val="Titre2"/>
        <w:rPr>
          <w:lang w:val="fr-FR"/>
        </w:rPr>
      </w:pPr>
    </w:p>
    <w:p w14:paraId="1B9D7FFF" w14:textId="13C52D69" w:rsidR="007C6177" w:rsidRDefault="007C6177" w:rsidP="007C6177">
      <w:pPr>
        <w:pStyle w:val="Titre2"/>
        <w:rPr>
          <w:lang w:val="fr-FR"/>
        </w:rPr>
      </w:pPr>
      <w:r w:rsidRPr="007C6177">
        <w:rPr>
          <w:lang w:val="fr-FR"/>
        </w:rPr>
        <w:t>Justification</w:t>
      </w:r>
      <w:r>
        <w:rPr>
          <w:lang w:val="fr-FR"/>
        </w:rPr>
        <w:t xml:space="preserve"> de </w:t>
      </w:r>
      <w:r>
        <w:rPr>
          <w:lang w:val="fr-FR"/>
        </w:rPr>
        <w:t>Broker de messages</w:t>
      </w:r>
    </w:p>
    <w:p w14:paraId="48BDF4A4" w14:textId="77777777" w:rsidR="007C6177" w:rsidRDefault="007C6177" w:rsidP="007C6177">
      <w:pPr>
        <w:rPr>
          <w:lang w:val="fr-FR"/>
        </w:rPr>
      </w:pPr>
      <w:r w:rsidRPr="00BD1CB5">
        <w:rPr>
          <w:lang w:val="fr-FR"/>
        </w:rPr>
        <w:t>Un broker de messages (</w:t>
      </w:r>
      <w:proofErr w:type="spellStart"/>
      <w:r w:rsidRPr="00BD1CB5">
        <w:rPr>
          <w:lang w:val="fr-FR"/>
        </w:rPr>
        <w:t>RabbitMQ</w:t>
      </w:r>
      <w:proofErr w:type="spellEnd"/>
      <w:r w:rsidRPr="00BD1CB5">
        <w:rPr>
          <w:lang w:val="fr-FR"/>
        </w:rPr>
        <w:t xml:space="preserve">) est utilisé afin de mettre en place une communication asynchrone entre les </w:t>
      </w:r>
      <w:proofErr w:type="spellStart"/>
      <w:r w:rsidRPr="00BD1CB5">
        <w:rPr>
          <w:lang w:val="fr-FR"/>
        </w:rPr>
        <w:t>microservices</w:t>
      </w:r>
      <w:proofErr w:type="spellEnd"/>
      <w:r w:rsidRPr="00BD1CB5">
        <w:rPr>
          <w:lang w:val="fr-FR"/>
        </w:rPr>
        <w:t xml:space="preserve">. Ce choix permet de réduire le couplage, d’améliorer la résilience (un service peut être temporairement indisponible sans bloquer l’ensemble du flux) et de mieux absorber les pics de charge. </w:t>
      </w:r>
      <w:proofErr w:type="spellStart"/>
      <w:r w:rsidRPr="00BD1CB5">
        <w:rPr>
          <w:lang w:val="fr-FR"/>
        </w:rPr>
        <w:t>RabbitMQ</w:t>
      </w:r>
      <w:proofErr w:type="spellEnd"/>
      <w:r w:rsidRPr="00BD1CB5">
        <w:rPr>
          <w:lang w:val="fr-FR"/>
        </w:rPr>
        <w:t xml:space="preserve"> a été retenu pour sa simplicité d’intégration et sa compatibilité avec les différentes technologies utilisées (Spring Boot, .NET et Node.js).</w:t>
      </w:r>
    </w:p>
    <w:p w14:paraId="6E6235FC" w14:textId="77777777" w:rsidR="007C6177" w:rsidRPr="00CD54D2" w:rsidRDefault="007C6177" w:rsidP="00684E14">
      <w:pPr>
        <w:rPr>
          <w:lang w:val="fr-FR"/>
        </w:rPr>
      </w:pPr>
    </w:p>
    <w:sectPr w:rsidR="007C6177" w:rsidRPr="00CD54D2" w:rsidSect="007C61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7C684F"/>
    <w:multiLevelType w:val="hybridMultilevel"/>
    <w:tmpl w:val="C9CE6CF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B4F15DD"/>
    <w:multiLevelType w:val="multilevel"/>
    <w:tmpl w:val="00C4D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C053327"/>
    <w:multiLevelType w:val="hybridMultilevel"/>
    <w:tmpl w:val="68AE3814"/>
    <w:lvl w:ilvl="0" w:tplc="3B7C7F8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31346822">
    <w:abstractNumId w:val="0"/>
  </w:num>
  <w:num w:numId="2" w16cid:durableId="309480775">
    <w:abstractNumId w:val="1"/>
  </w:num>
  <w:num w:numId="3" w16cid:durableId="16724871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838"/>
    <w:rsid w:val="0001711D"/>
    <w:rsid w:val="001B1108"/>
    <w:rsid w:val="001D5F9E"/>
    <w:rsid w:val="001F3695"/>
    <w:rsid w:val="0022240C"/>
    <w:rsid w:val="004C3B0A"/>
    <w:rsid w:val="00525997"/>
    <w:rsid w:val="00684E14"/>
    <w:rsid w:val="007528C9"/>
    <w:rsid w:val="007C6177"/>
    <w:rsid w:val="009B4BBD"/>
    <w:rsid w:val="009B62D4"/>
    <w:rsid w:val="00BD1CB5"/>
    <w:rsid w:val="00CD54D2"/>
    <w:rsid w:val="00EB3838"/>
    <w:rsid w:val="00F179C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78C6D6"/>
  <w15:chartTrackingRefBased/>
  <w15:docId w15:val="{E19EFB4D-A62D-45EE-95C3-AF2ADAB7F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B38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EB3838"/>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Titre3">
    <w:name w:val="heading 3"/>
    <w:basedOn w:val="Normal"/>
    <w:next w:val="Normal"/>
    <w:link w:val="Titre3Car"/>
    <w:uiPriority w:val="9"/>
    <w:unhideWhenUsed/>
    <w:qFormat/>
    <w:rsid w:val="00684E14"/>
    <w:pPr>
      <w:keepNext/>
      <w:keepLines/>
      <w:spacing w:before="160" w:after="80"/>
      <w:outlineLvl w:val="2"/>
    </w:pPr>
    <w:rPr>
      <w:rFonts w:eastAsiaTheme="majorEastAsia" w:cstheme="majorBidi"/>
      <w:color w:val="767171" w:themeColor="background2" w:themeShade="80"/>
      <w:sz w:val="28"/>
      <w:szCs w:val="28"/>
    </w:rPr>
  </w:style>
  <w:style w:type="paragraph" w:styleId="Titre4">
    <w:name w:val="heading 4"/>
    <w:basedOn w:val="Normal"/>
    <w:next w:val="Normal"/>
    <w:link w:val="Titre4Car"/>
    <w:uiPriority w:val="9"/>
    <w:semiHidden/>
    <w:unhideWhenUsed/>
    <w:qFormat/>
    <w:rsid w:val="00EB3838"/>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EB3838"/>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EB383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B383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B383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B383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B3838"/>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EB3838"/>
    <w:rPr>
      <w:rFonts w:asciiTheme="majorHAnsi" w:eastAsiaTheme="majorEastAsia" w:hAnsiTheme="majorHAnsi" w:cstheme="majorBidi"/>
      <w:color w:val="000000" w:themeColor="text1"/>
      <w:sz w:val="32"/>
      <w:szCs w:val="32"/>
    </w:rPr>
  </w:style>
  <w:style w:type="character" w:customStyle="1" w:styleId="Titre3Car">
    <w:name w:val="Titre 3 Car"/>
    <w:basedOn w:val="Policepardfaut"/>
    <w:link w:val="Titre3"/>
    <w:uiPriority w:val="9"/>
    <w:rsid w:val="00684E14"/>
    <w:rPr>
      <w:rFonts w:eastAsiaTheme="majorEastAsia" w:cstheme="majorBidi"/>
      <w:color w:val="767171" w:themeColor="background2" w:themeShade="80"/>
      <w:sz w:val="28"/>
      <w:szCs w:val="28"/>
    </w:rPr>
  </w:style>
  <w:style w:type="character" w:customStyle="1" w:styleId="Titre4Car">
    <w:name w:val="Titre 4 Car"/>
    <w:basedOn w:val="Policepardfaut"/>
    <w:link w:val="Titre4"/>
    <w:uiPriority w:val="9"/>
    <w:semiHidden/>
    <w:rsid w:val="00EB3838"/>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EB3838"/>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EB383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B383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B383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B3838"/>
    <w:rPr>
      <w:rFonts w:eastAsiaTheme="majorEastAsia" w:cstheme="majorBidi"/>
      <w:color w:val="272727" w:themeColor="text1" w:themeTint="D8"/>
    </w:rPr>
  </w:style>
  <w:style w:type="paragraph" w:styleId="Titre">
    <w:name w:val="Title"/>
    <w:basedOn w:val="Normal"/>
    <w:next w:val="Normal"/>
    <w:link w:val="TitreCar"/>
    <w:uiPriority w:val="10"/>
    <w:qFormat/>
    <w:rsid w:val="00EB38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B383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B383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B383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B3838"/>
    <w:pPr>
      <w:spacing w:before="160"/>
      <w:jc w:val="center"/>
    </w:pPr>
    <w:rPr>
      <w:i/>
      <w:iCs/>
      <w:color w:val="404040" w:themeColor="text1" w:themeTint="BF"/>
    </w:rPr>
  </w:style>
  <w:style w:type="character" w:customStyle="1" w:styleId="CitationCar">
    <w:name w:val="Citation Car"/>
    <w:basedOn w:val="Policepardfaut"/>
    <w:link w:val="Citation"/>
    <w:uiPriority w:val="29"/>
    <w:rsid w:val="00EB3838"/>
    <w:rPr>
      <w:i/>
      <w:iCs/>
      <w:color w:val="404040" w:themeColor="text1" w:themeTint="BF"/>
    </w:rPr>
  </w:style>
  <w:style w:type="paragraph" w:styleId="Paragraphedeliste">
    <w:name w:val="List Paragraph"/>
    <w:basedOn w:val="Normal"/>
    <w:uiPriority w:val="34"/>
    <w:qFormat/>
    <w:rsid w:val="00EB3838"/>
    <w:pPr>
      <w:ind w:left="720"/>
      <w:contextualSpacing/>
    </w:pPr>
  </w:style>
  <w:style w:type="character" w:styleId="Accentuationintense">
    <w:name w:val="Intense Emphasis"/>
    <w:basedOn w:val="Policepardfaut"/>
    <w:uiPriority w:val="21"/>
    <w:qFormat/>
    <w:rsid w:val="00EB3838"/>
    <w:rPr>
      <w:i/>
      <w:iCs/>
      <w:color w:val="2F5496" w:themeColor="accent1" w:themeShade="BF"/>
    </w:rPr>
  </w:style>
  <w:style w:type="paragraph" w:styleId="Citationintense">
    <w:name w:val="Intense Quote"/>
    <w:basedOn w:val="Normal"/>
    <w:next w:val="Normal"/>
    <w:link w:val="CitationintenseCar"/>
    <w:uiPriority w:val="30"/>
    <w:qFormat/>
    <w:rsid w:val="00EB38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EB3838"/>
    <w:rPr>
      <w:i/>
      <w:iCs/>
      <w:color w:val="2F5496" w:themeColor="accent1" w:themeShade="BF"/>
    </w:rPr>
  </w:style>
  <w:style w:type="character" w:styleId="Rfrenceintense">
    <w:name w:val="Intense Reference"/>
    <w:basedOn w:val="Policepardfaut"/>
    <w:uiPriority w:val="32"/>
    <w:qFormat/>
    <w:rsid w:val="00EB3838"/>
    <w:rPr>
      <w:b/>
      <w:bCs/>
      <w:smallCaps/>
      <w:color w:val="2F5496" w:themeColor="accent1" w:themeShade="BF"/>
      <w:spacing w:val="5"/>
    </w:rPr>
  </w:style>
  <w:style w:type="paragraph" w:styleId="Sansinterligne">
    <w:name w:val="No Spacing"/>
    <w:uiPriority w:val="1"/>
    <w:qFormat/>
    <w:rsid w:val="00EB383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590334">
      <w:bodyDiv w:val="1"/>
      <w:marLeft w:val="0"/>
      <w:marRight w:val="0"/>
      <w:marTop w:val="0"/>
      <w:marBottom w:val="0"/>
      <w:divBdr>
        <w:top w:val="none" w:sz="0" w:space="0" w:color="auto"/>
        <w:left w:val="none" w:sz="0" w:space="0" w:color="auto"/>
        <w:bottom w:val="none" w:sz="0" w:space="0" w:color="auto"/>
        <w:right w:val="none" w:sz="0" w:space="0" w:color="auto"/>
      </w:divBdr>
    </w:div>
    <w:div w:id="88432475">
      <w:bodyDiv w:val="1"/>
      <w:marLeft w:val="0"/>
      <w:marRight w:val="0"/>
      <w:marTop w:val="0"/>
      <w:marBottom w:val="0"/>
      <w:divBdr>
        <w:top w:val="none" w:sz="0" w:space="0" w:color="auto"/>
        <w:left w:val="none" w:sz="0" w:space="0" w:color="auto"/>
        <w:bottom w:val="none" w:sz="0" w:space="0" w:color="auto"/>
        <w:right w:val="none" w:sz="0" w:space="0" w:color="auto"/>
      </w:divBdr>
    </w:div>
    <w:div w:id="120733526">
      <w:bodyDiv w:val="1"/>
      <w:marLeft w:val="0"/>
      <w:marRight w:val="0"/>
      <w:marTop w:val="0"/>
      <w:marBottom w:val="0"/>
      <w:divBdr>
        <w:top w:val="none" w:sz="0" w:space="0" w:color="auto"/>
        <w:left w:val="none" w:sz="0" w:space="0" w:color="auto"/>
        <w:bottom w:val="none" w:sz="0" w:space="0" w:color="auto"/>
        <w:right w:val="none" w:sz="0" w:space="0" w:color="auto"/>
      </w:divBdr>
    </w:div>
    <w:div w:id="248734230">
      <w:bodyDiv w:val="1"/>
      <w:marLeft w:val="0"/>
      <w:marRight w:val="0"/>
      <w:marTop w:val="0"/>
      <w:marBottom w:val="0"/>
      <w:divBdr>
        <w:top w:val="none" w:sz="0" w:space="0" w:color="auto"/>
        <w:left w:val="none" w:sz="0" w:space="0" w:color="auto"/>
        <w:bottom w:val="none" w:sz="0" w:space="0" w:color="auto"/>
        <w:right w:val="none" w:sz="0" w:space="0" w:color="auto"/>
      </w:divBdr>
    </w:div>
    <w:div w:id="272977461">
      <w:bodyDiv w:val="1"/>
      <w:marLeft w:val="0"/>
      <w:marRight w:val="0"/>
      <w:marTop w:val="0"/>
      <w:marBottom w:val="0"/>
      <w:divBdr>
        <w:top w:val="none" w:sz="0" w:space="0" w:color="auto"/>
        <w:left w:val="none" w:sz="0" w:space="0" w:color="auto"/>
        <w:bottom w:val="none" w:sz="0" w:space="0" w:color="auto"/>
        <w:right w:val="none" w:sz="0" w:space="0" w:color="auto"/>
      </w:divBdr>
    </w:div>
    <w:div w:id="540172832">
      <w:bodyDiv w:val="1"/>
      <w:marLeft w:val="0"/>
      <w:marRight w:val="0"/>
      <w:marTop w:val="0"/>
      <w:marBottom w:val="0"/>
      <w:divBdr>
        <w:top w:val="none" w:sz="0" w:space="0" w:color="auto"/>
        <w:left w:val="none" w:sz="0" w:space="0" w:color="auto"/>
        <w:bottom w:val="none" w:sz="0" w:space="0" w:color="auto"/>
        <w:right w:val="none" w:sz="0" w:space="0" w:color="auto"/>
      </w:divBdr>
    </w:div>
    <w:div w:id="624308008">
      <w:bodyDiv w:val="1"/>
      <w:marLeft w:val="0"/>
      <w:marRight w:val="0"/>
      <w:marTop w:val="0"/>
      <w:marBottom w:val="0"/>
      <w:divBdr>
        <w:top w:val="none" w:sz="0" w:space="0" w:color="auto"/>
        <w:left w:val="none" w:sz="0" w:space="0" w:color="auto"/>
        <w:bottom w:val="none" w:sz="0" w:space="0" w:color="auto"/>
        <w:right w:val="none" w:sz="0" w:space="0" w:color="auto"/>
      </w:divBdr>
    </w:div>
    <w:div w:id="676158068">
      <w:bodyDiv w:val="1"/>
      <w:marLeft w:val="0"/>
      <w:marRight w:val="0"/>
      <w:marTop w:val="0"/>
      <w:marBottom w:val="0"/>
      <w:divBdr>
        <w:top w:val="none" w:sz="0" w:space="0" w:color="auto"/>
        <w:left w:val="none" w:sz="0" w:space="0" w:color="auto"/>
        <w:bottom w:val="none" w:sz="0" w:space="0" w:color="auto"/>
        <w:right w:val="none" w:sz="0" w:space="0" w:color="auto"/>
      </w:divBdr>
    </w:div>
    <w:div w:id="696387976">
      <w:bodyDiv w:val="1"/>
      <w:marLeft w:val="0"/>
      <w:marRight w:val="0"/>
      <w:marTop w:val="0"/>
      <w:marBottom w:val="0"/>
      <w:divBdr>
        <w:top w:val="none" w:sz="0" w:space="0" w:color="auto"/>
        <w:left w:val="none" w:sz="0" w:space="0" w:color="auto"/>
        <w:bottom w:val="none" w:sz="0" w:space="0" w:color="auto"/>
        <w:right w:val="none" w:sz="0" w:space="0" w:color="auto"/>
      </w:divBdr>
    </w:div>
    <w:div w:id="715398915">
      <w:bodyDiv w:val="1"/>
      <w:marLeft w:val="0"/>
      <w:marRight w:val="0"/>
      <w:marTop w:val="0"/>
      <w:marBottom w:val="0"/>
      <w:divBdr>
        <w:top w:val="none" w:sz="0" w:space="0" w:color="auto"/>
        <w:left w:val="none" w:sz="0" w:space="0" w:color="auto"/>
        <w:bottom w:val="none" w:sz="0" w:space="0" w:color="auto"/>
        <w:right w:val="none" w:sz="0" w:space="0" w:color="auto"/>
      </w:divBdr>
    </w:div>
    <w:div w:id="986981546">
      <w:bodyDiv w:val="1"/>
      <w:marLeft w:val="0"/>
      <w:marRight w:val="0"/>
      <w:marTop w:val="0"/>
      <w:marBottom w:val="0"/>
      <w:divBdr>
        <w:top w:val="none" w:sz="0" w:space="0" w:color="auto"/>
        <w:left w:val="none" w:sz="0" w:space="0" w:color="auto"/>
        <w:bottom w:val="none" w:sz="0" w:space="0" w:color="auto"/>
        <w:right w:val="none" w:sz="0" w:space="0" w:color="auto"/>
      </w:divBdr>
    </w:div>
    <w:div w:id="1119685211">
      <w:bodyDiv w:val="1"/>
      <w:marLeft w:val="0"/>
      <w:marRight w:val="0"/>
      <w:marTop w:val="0"/>
      <w:marBottom w:val="0"/>
      <w:divBdr>
        <w:top w:val="none" w:sz="0" w:space="0" w:color="auto"/>
        <w:left w:val="none" w:sz="0" w:space="0" w:color="auto"/>
        <w:bottom w:val="none" w:sz="0" w:space="0" w:color="auto"/>
        <w:right w:val="none" w:sz="0" w:space="0" w:color="auto"/>
      </w:divBdr>
    </w:div>
    <w:div w:id="1122458745">
      <w:bodyDiv w:val="1"/>
      <w:marLeft w:val="0"/>
      <w:marRight w:val="0"/>
      <w:marTop w:val="0"/>
      <w:marBottom w:val="0"/>
      <w:divBdr>
        <w:top w:val="none" w:sz="0" w:space="0" w:color="auto"/>
        <w:left w:val="none" w:sz="0" w:space="0" w:color="auto"/>
        <w:bottom w:val="none" w:sz="0" w:space="0" w:color="auto"/>
        <w:right w:val="none" w:sz="0" w:space="0" w:color="auto"/>
      </w:divBdr>
    </w:div>
    <w:div w:id="1161120894">
      <w:bodyDiv w:val="1"/>
      <w:marLeft w:val="0"/>
      <w:marRight w:val="0"/>
      <w:marTop w:val="0"/>
      <w:marBottom w:val="0"/>
      <w:divBdr>
        <w:top w:val="none" w:sz="0" w:space="0" w:color="auto"/>
        <w:left w:val="none" w:sz="0" w:space="0" w:color="auto"/>
        <w:bottom w:val="none" w:sz="0" w:space="0" w:color="auto"/>
        <w:right w:val="none" w:sz="0" w:space="0" w:color="auto"/>
      </w:divBdr>
    </w:div>
    <w:div w:id="1211260141">
      <w:bodyDiv w:val="1"/>
      <w:marLeft w:val="0"/>
      <w:marRight w:val="0"/>
      <w:marTop w:val="0"/>
      <w:marBottom w:val="0"/>
      <w:divBdr>
        <w:top w:val="none" w:sz="0" w:space="0" w:color="auto"/>
        <w:left w:val="none" w:sz="0" w:space="0" w:color="auto"/>
        <w:bottom w:val="none" w:sz="0" w:space="0" w:color="auto"/>
        <w:right w:val="none" w:sz="0" w:space="0" w:color="auto"/>
      </w:divBdr>
    </w:div>
    <w:div w:id="1244954005">
      <w:bodyDiv w:val="1"/>
      <w:marLeft w:val="0"/>
      <w:marRight w:val="0"/>
      <w:marTop w:val="0"/>
      <w:marBottom w:val="0"/>
      <w:divBdr>
        <w:top w:val="none" w:sz="0" w:space="0" w:color="auto"/>
        <w:left w:val="none" w:sz="0" w:space="0" w:color="auto"/>
        <w:bottom w:val="none" w:sz="0" w:space="0" w:color="auto"/>
        <w:right w:val="none" w:sz="0" w:space="0" w:color="auto"/>
      </w:divBdr>
    </w:div>
    <w:div w:id="1292441855">
      <w:bodyDiv w:val="1"/>
      <w:marLeft w:val="0"/>
      <w:marRight w:val="0"/>
      <w:marTop w:val="0"/>
      <w:marBottom w:val="0"/>
      <w:divBdr>
        <w:top w:val="none" w:sz="0" w:space="0" w:color="auto"/>
        <w:left w:val="none" w:sz="0" w:space="0" w:color="auto"/>
        <w:bottom w:val="none" w:sz="0" w:space="0" w:color="auto"/>
        <w:right w:val="none" w:sz="0" w:space="0" w:color="auto"/>
      </w:divBdr>
    </w:div>
    <w:div w:id="1384718074">
      <w:bodyDiv w:val="1"/>
      <w:marLeft w:val="0"/>
      <w:marRight w:val="0"/>
      <w:marTop w:val="0"/>
      <w:marBottom w:val="0"/>
      <w:divBdr>
        <w:top w:val="none" w:sz="0" w:space="0" w:color="auto"/>
        <w:left w:val="none" w:sz="0" w:space="0" w:color="auto"/>
        <w:bottom w:val="none" w:sz="0" w:space="0" w:color="auto"/>
        <w:right w:val="none" w:sz="0" w:space="0" w:color="auto"/>
      </w:divBdr>
    </w:div>
    <w:div w:id="1398437489">
      <w:bodyDiv w:val="1"/>
      <w:marLeft w:val="0"/>
      <w:marRight w:val="0"/>
      <w:marTop w:val="0"/>
      <w:marBottom w:val="0"/>
      <w:divBdr>
        <w:top w:val="none" w:sz="0" w:space="0" w:color="auto"/>
        <w:left w:val="none" w:sz="0" w:space="0" w:color="auto"/>
        <w:bottom w:val="none" w:sz="0" w:space="0" w:color="auto"/>
        <w:right w:val="none" w:sz="0" w:space="0" w:color="auto"/>
      </w:divBdr>
    </w:div>
    <w:div w:id="1431392184">
      <w:bodyDiv w:val="1"/>
      <w:marLeft w:val="0"/>
      <w:marRight w:val="0"/>
      <w:marTop w:val="0"/>
      <w:marBottom w:val="0"/>
      <w:divBdr>
        <w:top w:val="none" w:sz="0" w:space="0" w:color="auto"/>
        <w:left w:val="none" w:sz="0" w:space="0" w:color="auto"/>
        <w:bottom w:val="none" w:sz="0" w:space="0" w:color="auto"/>
        <w:right w:val="none" w:sz="0" w:space="0" w:color="auto"/>
      </w:divBdr>
    </w:div>
    <w:div w:id="1717268200">
      <w:bodyDiv w:val="1"/>
      <w:marLeft w:val="0"/>
      <w:marRight w:val="0"/>
      <w:marTop w:val="0"/>
      <w:marBottom w:val="0"/>
      <w:divBdr>
        <w:top w:val="none" w:sz="0" w:space="0" w:color="auto"/>
        <w:left w:val="none" w:sz="0" w:space="0" w:color="auto"/>
        <w:bottom w:val="none" w:sz="0" w:space="0" w:color="auto"/>
        <w:right w:val="none" w:sz="0" w:space="0" w:color="auto"/>
      </w:divBdr>
    </w:div>
    <w:div w:id="1786848231">
      <w:bodyDiv w:val="1"/>
      <w:marLeft w:val="0"/>
      <w:marRight w:val="0"/>
      <w:marTop w:val="0"/>
      <w:marBottom w:val="0"/>
      <w:divBdr>
        <w:top w:val="none" w:sz="0" w:space="0" w:color="auto"/>
        <w:left w:val="none" w:sz="0" w:space="0" w:color="auto"/>
        <w:bottom w:val="none" w:sz="0" w:space="0" w:color="auto"/>
        <w:right w:val="none" w:sz="0" w:space="0" w:color="auto"/>
      </w:divBdr>
    </w:div>
    <w:div w:id="1871454474">
      <w:bodyDiv w:val="1"/>
      <w:marLeft w:val="0"/>
      <w:marRight w:val="0"/>
      <w:marTop w:val="0"/>
      <w:marBottom w:val="0"/>
      <w:divBdr>
        <w:top w:val="none" w:sz="0" w:space="0" w:color="auto"/>
        <w:left w:val="none" w:sz="0" w:space="0" w:color="auto"/>
        <w:bottom w:val="none" w:sz="0" w:space="0" w:color="auto"/>
        <w:right w:val="none" w:sz="0" w:space="0" w:color="auto"/>
      </w:divBdr>
    </w:div>
    <w:div w:id="1976640803">
      <w:bodyDiv w:val="1"/>
      <w:marLeft w:val="0"/>
      <w:marRight w:val="0"/>
      <w:marTop w:val="0"/>
      <w:marBottom w:val="0"/>
      <w:divBdr>
        <w:top w:val="none" w:sz="0" w:space="0" w:color="auto"/>
        <w:left w:val="none" w:sz="0" w:space="0" w:color="auto"/>
        <w:bottom w:val="none" w:sz="0" w:space="0" w:color="auto"/>
        <w:right w:val="none" w:sz="0" w:space="0" w:color="auto"/>
      </w:divBdr>
    </w:div>
    <w:div w:id="1988629442">
      <w:bodyDiv w:val="1"/>
      <w:marLeft w:val="0"/>
      <w:marRight w:val="0"/>
      <w:marTop w:val="0"/>
      <w:marBottom w:val="0"/>
      <w:divBdr>
        <w:top w:val="none" w:sz="0" w:space="0" w:color="auto"/>
        <w:left w:val="none" w:sz="0" w:space="0" w:color="auto"/>
        <w:bottom w:val="none" w:sz="0" w:space="0" w:color="auto"/>
        <w:right w:val="none" w:sz="0" w:space="0" w:color="auto"/>
      </w:divBdr>
    </w:div>
    <w:div w:id="21200302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319</TotalTime>
  <Pages>5</Pages>
  <Words>1154</Words>
  <Characters>6579</Characters>
  <Application>Microsoft Office Word</Application>
  <DocSecurity>0</DocSecurity>
  <Lines>54</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Kenan Jabr</dc:creator>
  <cp:keywords/>
  <dc:description/>
  <cp:lastModifiedBy>Kenan Jabr</cp:lastModifiedBy>
  <cp:revision>2</cp:revision>
  <dcterms:created xsi:type="dcterms:W3CDTF">2026-01-05T10:10:00Z</dcterms:created>
  <dcterms:modified xsi:type="dcterms:W3CDTF">2026-01-09T15:33:00Z</dcterms:modified>
</cp:coreProperties>
</file>