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DB4C9" w14:textId="77777777" w:rsidR="006F5B83" w:rsidRDefault="00000000">
      <w:pPr>
        <w:spacing w:before="800" w:after="200"/>
        <w:jc w:val="center"/>
      </w:pPr>
      <w:r>
        <w:rPr>
          <w:b/>
          <w:bCs/>
          <w:color w:val="1F4E79"/>
          <w:sz w:val="44"/>
          <w:szCs w:val="44"/>
        </w:rPr>
        <w:t>FEDHA-GROW (PTY) LTD</w:t>
      </w:r>
    </w:p>
    <w:p w14:paraId="729D5F8E" w14:textId="77777777" w:rsidR="006F5B83" w:rsidRDefault="00000000">
      <w:pPr>
        <w:spacing w:after="200"/>
        <w:jc w:val="center"/>
      </w:pPr>
      <w:r>
        <w:rPr>
          <w:color w:val="2E75B6"/>
          <w:sz w:val="30"/>
          <w:szCs w:val="30"/>
        </w:rPr>
        <w:t>Responsible Digital Lending</w:t>
      </w:r>
    </w:p>
    <w:p w14:paraId="1A67B0F1" w14:textId="77777777" w:rsidR="006F5B83" w:rsidRDefault="00000000">
      <w:pPr>
        <w:spacing w:after="80"/>
        <w:jc w:val="center"/>
      </w:pPr>
      <w:r>
        <w:rPr>
          <w:color w:val="595959"/>
          <w:sz w:val="24"/>
          <w:szCs w:val="24"/>
        </w:rPr>
        <w:t>Measures to Prevent Over-Indebtedness and Protect Consumers</w:t>
      </w:r>
    </w:p>
    <w:p w14:paraId="16FBC5AD" w14:textId="77777777" w:rsidR="006F5B83" w:rsidRDefault="00000000">
      <w:pPr>
        <w:spacing w:after="400"/>
        <w:jc w:val="center"/>
      </w:pPr>
      <w:r>
        <w:rPr>
          <w:i/>
          <w:iCs/>
          <w:color w:val="595959"/>
        </w:rPr>
        <w:t>Submission to the Central Bank of Lesotho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5B83" w14:paraId="3125E54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3DB3332" w14:textId="77777777" w:rsidR="006F5B83" w:rsidRDefault="00000000">
            <w:r>
              <w:rPr>
                <w:b/>
                <w:bCs/>
                <w:color w:val="FFFFFF"/>
                <w:sz w:val="20"/>
                <w:szCs w:val="20"/>
              </w:rPr>
              <w:t>Field</w:t>
            </w:r>
          </w:p>
        </w:tc>
        <w:tc>
          <w:tcPr>
            <w:tcW w:w="6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1B47EB98" w14:textId="77777777" w:rsidR="006F5B83" w:rsidRDefault="00000000">
            <w:r>
              <w:rPr>
                <w:b/>
                <w:bCs/>
                <w:color w:val="FFFFFF"/>
                <w:sz w:val="20"/>
                <w:szCs w:val="20"/>
              </w:rPr>
              <w:t>Detail</w:t>
            </w:r>
          </w:p>
        </w:tc>
      </w:tr>
      <w:tr w:rsidR="006F5B83" w14:paraId="22E81B8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5DADF4B" w14:textId="77777777" w:rsidR="006F5B83" w:rsidRDefault="00000000">
            <w:r>
              <w:rPr>
                <w:b/>
                <w:bCs/>
                <w:color w:val="000000"/>
                <w:sz w:val="20"/>
                <w:szCs w:val="20"/>
              </w:rPr>
              <w:t>CBL Request</w:t>
            </w:r>
          </w:p>
        </w:tc>
        <w:tc>
          <w:tcPr>
            <w:tcW w:w="6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8B500B0" w14:textId="77777777" w:rsidR="006F5B83" w:rsidRDefault="00000000">
            <w:r>
              <w:rPr>
                <w:color w:val="000000"/>
                <w:sz w:val="20"/>
                <w:szCs w:val="20"/>
              </w:rPr>
              <w:t>Indicate the responsible lending measures and customer protection safeguards to address the risk of over-indebtedness associated with instant credit offering</w:t>
            </w:r>
          </w:p>
        </w:tc>
      </w:tr>
      <w:tr w:rsidR="006F5B83" w14:paraId="3070429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3D740D37" w14:textId="77777777" w:rsidR="006F5B83" w:rsidRDefault="00000000">
            <w:r>
              <w:rPr>
                <w:b/>
                <w:bCs/>
                <w:color w:val="000000"/>
                <w:sz w:val="20"/>
                <w:szCs w:val="20"/>
              </w:rPr>
              <w:t>Legal Basis</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282BB94B" w14:textId="77777777" w:rsidR="006F5B83" w:rsidRDefault="00000000">
            <w:r>
              <w:rPr>
                <w:color w:val="000000"/>
                <w:sz w:val="20"/>
                <w:szCs w:val="20"/>
              </w:rPr>
              <w:t>Financial Consumer Protection Act 2022 (Sections 6, 7, 9, 11, 13, 14, 15, 16, 20, 21, 22, 24, 25, 26, 27, 29, 30, 31, 32, 41)</w:t>
            </w:r>
          </w:p>
        </w:tc>
      </w:tr>
      <w:tr w:rsidR="006F5B83" w14:paraId="1F161E4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DB6AA16" w14:textId="77777777" w:rsidR="006F5B83" w:rsidRDefault="00000000">
            <w:r>
              <w:rPr>
                <w:b/>
                <w:bCs/>
                <w:color w:val="000000"/>
                <w:sz w:val="20"/>
                <w:szCs w:val="20"/>
              </w:rPr>
              <w:t>Submitted By</w:t>
            </w:r>
          </w:p>
        </w:tc>
        <w:tc>
          <w:tcPr>
            <w:tcW w:w="6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3A80008" w14:textId="77777777" w:rsidR="006F5B83" w:rsidRDefault="00000000">
            <w:proofErr w:type="spellStart"/>
            <w:r>
              <w:rPr>
                <w:color w:val="000000"/>
                <w:sz w:val="20"/>
                <w:szCs w:val="20"/>
              </w:rPr>
              <w:t>Fedha</w:t>
            </w:r>
            <w:proofErr w:type="spellEnd"/>
            <w:r>
              <w:rPr>
                <w:color w:val="000000"/>
                <w:sz w:val="20"/>
                <w:szCs w:val="20"/>
              </w:rPr>
              <w:t>-Grow (Pty) Ltd</w:t>
            </w:r>
          </w:p>
        </w:tc>
      </w:tr>
      <w:tr w:rsidR="006F5B83" w14:paraId="24BF02C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2E946ECC" w14:textId="77777777" w:rsidR="006F5B83" w:rsidRDefault="00000000">
            <w:r>
              <w:rPr>
                <w:b/>
                <w:bCs/>
                <w:color w:val="000000"/>
                <w:sz w:val="20"/>
                <w:szCs w:val="20"/>
              </w:rPr>
              <w:t>Classification</w:t>
            </w:r>
          </w:p>
        </w:tc>
        <w:tc>
          <w:tcPr>
            <w:tcW w:w="6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0F6B5C42" w14:textId="77777777" w:rsidR="006F5B83" w:rsidRDefault="00000000">
            <w:r>
              <w:rPr>
                <w:color w:val="000000"/>
                <w:sz w:val="20"/>
                <w:szCs w:val="20"/>
              </w:rPr>
              <w:t>Confidential — CBL Submission</w:t>
            </w:r>
          </w:p>
        </w:tc>
      </w:tr>
    </w:tbl>
    <w:p w14:paraId="4EDA6BFA" w14:textId="77777777" w:rsidR="006F5B83" w:rsidRDefault="00000000">
      <w:r>
        <w:br w:type="page"/>
      </w:r>
    </w:p>
    <w:p w14:paraId="2C6D2DF0" w14:textId="77777777" w:rsidR="006F5B83" w:rsidRDefault="00000000">
      <w:pPr>
        <w:pStyle w:val="Heading1"/>
      </w:pPr>
      <w:r>
        <w:lastRenderedPageBreak/>
        <w:t xml:space="preserve">1. </w:t>
      </w:r>
      <w:proofErr w:type="spellStart"/>
      <w:r>
        <w:t>Fedha</w:t>
      </w:r>
      <w:proofErr w:type="spellEnd"/>
      <w:r>
        <w:t>-Grow’s Position on Responsible Lending</w:t>
      </w:r>
    </w:p>
    <w:p w14:paraId="73881B0A" w14:textId="77777777" w:rsidR="006F5B83" w:rsidRDefault="00000000">
      <w:pPr>
        <w:spacing w:after="130"/>
        <w:jc w:val="both"/>
      </w:pPr>
      <w:proofErr w:type="spellStart"/>
      <w:r>
        <w:rPr>
          <w:color w:val="000000"/>
        </w:rPr>
        <w:t>Fedha</w:t>
      </w:r>
      <w:proofErr w:type="spellEnd"/>
      <w:r>
        <w:rPr>
          <w:color w:val="000000"/>
        </w:rPr>
        <w:t xml:space="preserve">-Grow </w:t>
      </w:r>
      <w:proofErr w:type="spellStart"/>
      <w:r>
        <w:rPr>
          <w:color w:val="000000"/>
        </w:rPr>
        <w:t>recognises</w:t>
      </w:r>
      <w:proofErr w:type="spellEnd"/>
      <w:r>
        <w:rPr>
          <w:color w:val="000000"/>
        </w:rPr>
        <w:t xml:space="preserve"> that digital lending platforms, if poorly designed, can accelerate over-indebtedness rather than promote inclusion. The convenience of instant digital access to credit can become harmful when borrowers accumulate obligations faster than their capacity to repay, when lenders do not conduct meaningful affordability assessments, and when there is no system-wide visibility into a borrower’s total exposure.</w:t>
      </w:r>
    </w:p>
    <w:p w14:paraId="47823A14" w14:textId="77777777" w:rsidR="006F5B83" w:rsidRDefault="00000000">
      <w:pPr>
        <w:spacing w:after="130"/>
        <w:jc w:val="both"/>
      </w:pPr>
      <w:proofErr w:type="spellStart"/>
      <w:r>
        <w:rPr>
          <w:color w:val="000000"/>
        </w:rPr>
        <w:t>Fedha</w:t>
      </w:r>
      <w:proofErr w:type="spellEnd"/>
      <w:r>
        <w:rPr>
          <w:color w:val="000000"/>
        </w:rPr>
        <w:t>-Grow is designed to prevent these outcomes. The platform does not lend, but it controls the environment in which lending occurs. Every safeguard described in this document is either enforced by the platform (the borrower or credit provider cannot bypass it) or contractually required of credit providers as a condition of participation.</w:t>
      </w:r>
    </w:p>
    <w:p w14:paraId="69FAFD3C" w14:textId="77777777" w:rsidR="006F5B83" w:rsidRDefault="00000000">
      <w:pPr>
        <w:spacing w:after="130"/>
        <w:jc w:val="both"/>
      </w:pPr>
      <w:r>
        <w:rPr>
          <w:color w:val="000000"/>
        </w:rPr>
        <w:t>Our approach rests on three pillars:</w:t>
      </w:r>
    </w:p>
    <w:p w14:paraId="5CD1DD2F" w14:textId="77777777" w:rsidR="006F5B83" w:rsidRDefault="00000000">
      <w:pPr>
        <w:pStyle w:val="ListParagraph"/>
        <w:numPr>
          <w:ilvl w:val="0"/>
          <w:numId w:val="2"/>
        </w:numPr>
        <w:spacing w:after="80"/>
      </w:pPr>
      <w:r>
        <w:rPr>
          <w:b/>
          <w:bCs/>
        </w:rPr>
        <w:t xml:space="preserve">Pillar 1 — Prevention: </w:t>
      </w:r>
      <w:r>
        <w:t>Stop over-indebtedness before it starts, through mandatory affordability assessment, cross-provider exposure checks, and cooling off periods.</w:t>
      </w:r>
    </w:p>
    <w:p w14:paraId="7A1F2D9C" w14:textId="77777777" w:rsidR="006F5B83" w:rsidRDefault="00000000">
      <w:pPr>
        <w:pStyle w:val="ListParagraph"/>
        <w:numPr>
          <w:ilvl w:val="0"/>
          <w:numId w:val="2"/>
        </w:numPr>
        <w:spacing w:after="80"/>
      </w:pPr>
      <w:r>
        <w:rPr>
          <w:b/>
          <w:bCs/>
        </w:rPr>
        <w:t xml:space="preserve">Pillar 2 — Visibility: </w:t>
      </w:r>
      <w:r>
        <w:t>Make borrower exposure visible across the system, so that no single borrower can accumulate hidden debt across multiple providers.</w:t>
      </w:r>
    </w:p>
    <w:p w14:paraId="1925BC33" w14:textId="77777777" w:rsidR="006F5B83" w:rsidRDefault="00000000">
      <w:pPr>
        <w:pStyle w:val="ListParagraph"/>
        <w:numPr>
          <w:ilvl w:val="0"/>
          <w:numId w:val="2"/>
        </w:numPr>
        <w:spacing w:after="80"/>
      </w:pPr>
      <w:r>
        <w:rPr>
          <w:b/>
          <w:bCs/>
        </w:rPr>
        <w:t xml:space="preserve">Pillar 3 — Intervention: </w:t>
      </w:r>
      <w:r>
        <w:t>Detect borrowers in financial difficulty early and require credit providers to act promptly and constructively.</w:t>
      </w:r>
    </w:p>
    <w:p w14:paraId="57B1B409" w14:textId="77777777" w:rsidR="006F5B83" w:rsidRDefault="00000000">
      <w:pPr>
        <w:pStyle w:val="Heading1"/>
      </w:pPr>
      <w:r>
        <w:t>2. Pillar 1: Prevention of Over-Indebtedness</w:t>
      </w:r>
    </w:p>
    <w:p w14:paraId="5754B05C" w14:textId="77777777" w:rsidR="006F5B83" w:rsidRDefault="00000000">
      <w:pPr>
        <w:pStyle w:val="Heading2"/>
      </w:pPr>
      <w:r>
        <w:t>2.1 Mandatory Affordability Assessment</w:t>
      </w:r>
    </w:p>
    <w:p w14:paraId="66FE9342" w14:textId="77777777" w:rsidR="006F5B83" w:rsidRDefault="00000000">
      <w:pPr>
        <w:pBdr>
          <w:left w:val="single" w:sz="10" w:space="8" w:color="2E7D32"/>
        </w:pBdr>
        <w:spacing w:before="60" w:after="100"/>
        <w:ind w:left="360"/>
      </w:pPr>
      <w:r>
        <w:rPr>
          <w:b/>
          <w:bCs/>
          <w:color w:val="2E7D32"/>
          <w:sz w:val="20"/>
          <w:szCs w:val="20"/>
        </w:rPr>
        <w:t xml:space="preserve">§ FCP Act, Section 24 — </w:t>
      </w:r>
      <w:r>
        <w:rPr>
          <w:color w:val="555555"/>
          <w:sz w:val="20"/>
          <w:szCs w:val="20"/>
        </w:rPr>
        <w:t xml:space="preserve">A financial service provider shall not encourage, </w:t>
      </w:r>
      <w:proofErr w:type="spellStart"/>
      <w:r>
        <w:rPr>
          <w:color w:val="555555"/>
          <w:sz w:val="20"/>
          <w:szCs w:val="20"/>
        </w:rPr>
        <w:t>incentivise</w:t>
      </w:r>
      <w:proofErr w:type="spellEnd"/>
      <w:r>
        <w:rPr>
          <w:color w:val="555555"/>
          <w:sz w:val="20"/>
          <w:szCs w:val="20"/>
        </w:rPr>
        <w:t xml:space="preserve"> or induce a consumer to obtain an unsuitable product or to enter into an agreement for an amount higher than requested or unable to afford; and shall establish written procedures to determine suitability and affordability.</w:t>
      </w:r>
    </w:p>
    <w:p w14:paraId="4F644303" w14:textId="77777777" w:rsidR="006F5B83" w:rsidRDefault="00000000">
      <w:pPr>
        <w:spacing w:after="130"/>
        <w:jc w:val="both"/>
      </w:pPr>
      <w:r>
        <w:rPr>
          <w:color w:val="000000"/>
        </w:rPr>
        <w:t xml:space="preserve">The </w:t>
      </w:r>
      <w:proofErr w:type="spellStart"/>
      <w:r>
        <w:rPr>
          <w:color w:val="000000"/>
        </w:rPr>
        <w:t>Fedha</w:t>
      </w:r>
      <w:proofErr w:type="spellEnd"/>
      <w:r>
        <w:rPr>
          <w:color w:val="000000"/>
        </w:rPr>
        <w:t>-Grow platform enforces affordability assessment as a mandatory step in the loan application process. No loan application can proceed to a credit provider without a completed affordability assessment. This is a platform-level gate, not a credit provider policy — it cannot be bypassed.</w:t>
      </w:r>
    </w:p>
    <w:p w14:paraId="546BA37A" w14:textId="77777777" w:rsidR="006F5B83" w:rsidRDefault="00000000">
      <w:pPr>
        <w:spacing w:after="130"/>
        <w:jc w:val="both"/>
      </w:pPr>
      <w:r>
        <w:rPr>
          <w:color w:val="000000"/>
        </w:rPr>
        <w:t>The affordability assessment includes:</w:t>
      </w:r>
    </w:p>
    <w:p w14:paraId="406B73E9" w14:textId="77777777" w:rsidR="006F5B83" w:rsidRDefault="00000000">
      <w:pPr>
        <w:pStyle w:val="ListParagraph"/>
        <w:numPr>
          <w:ilvl w:val="0"/>
          <w:numId w:val="2"/>
        </w:numPr>
        <w:spacing w:after="80"/>
      </w:pPr>
      <w:r>
        <w:rPr>
          <w:b/>
          <w:bCs/>
        </w:rPr>
        <w:t xml:space="preserve">Income verification: </w:t>
      </w:r>
      <w:r>
        <w:t>The borrower declares all sources of income. Where available, income is cross-referenced with mobile money inflow data (with borrower consent) and payroll information.</w:t>
      </w:r>
    </w:p>
    <w:p w14:paraId="754A7D65" w14:textId="77777777" w:rsidR="006F5B83" w:rsidRDefault="00000000">
      <w:pPr>
        <w:pStyle w:val="ListParagraph"/>
        <w:numPr>
          <w:ilvl w:val="0"/>
          <w:numId w:val="2"/>
        </w:numPr>
        <w:spacing w:after="80"/>
      </w:pPr>
      <w:r>
        <w:rPr>
          <w:b/>
          <w:bCs/>
        </w:rPr>
        <w:t xml:space="preserve">Existing obligations: </w:t>
      </w:r>
      <w:r>
        <w:t xml:space="preserve">The borrower declares all existing debts and financial commitments. This is cross-checked against the credit bureau record (Experian Lesotho) and, critically, against any active loans visible on the </w:t>
      </w:r>
      <w:proofErr w:type="spellStart"/>
      <w:r>
        <w:t>Fedha</w:t>
      </w:r>
      <w:proofErr w:type="spellEnd"/>
      <w:r>
        <w:t>-Grow platform from other credit providers.</w:t>
      </w:r>
    </w:p>
    <w:p w14:paraId="45B97E08" w14:textId="77777777" w:rsidR="006F5B83" w:rsidRDefault="00000000">
      <w:pPr>
        <w:pStyle w:val="ListParagraph"/>
        <w:numPr>
          <w:ilvl w:val="0"/>
          <w:numId w:val="2"/>
        </w:numPr>
        <w:spacing w:after="80"/>
      </w:pPr>
      <w:r>
        <w:rPr>
          <w:b/>
          <w:bCs/>
        </w:rPr>
        <w:t xml:space="preserve">Essential expenses: </w:t>
      </w:r>
      <w:r>
        <w:t xml:space="preserve">A </w:t>
      </w:r>
      <w:proofErr w:type="spellStart"/>
      <w:r>
        <w:t>standardised</w:t>
      </w:r>
      <w:proofErr w:type="spellEnd"/>
      <w:r>
        <w:t xml:space="preserve"> minimum living expense threshold is applied, based on household size and location, to ensure the borrower retains sufficient income for basic needs after servicing the proposed loan.</w:t>
      </w:r>
    </w:p>
    <w:p w14:paraId="7824D9C9" w14:textId="77777777" w:rsidR="006F5B83" w:rsidRDefault="00000000">
      <w:pPr>
        <w:pStyle w:val="ListParagraph"/>
        <w:numPr>
          <w:ilvl w:val="0"/>
          <w:numId w:val="2"/>
        </w:numPr>
        <w:spacing w:after="80"/>
      </w:pPr>
      <w:r>
        <w:rPr>
          <w:b/>
          <w:bCs/>
        </w:rPr>
        <w:t xml:space="preserve">Debt-to-income ratio: </w:t>
      </w:r>
      <w:r>
        <w:t xml:space="preserve">The platform calculates a debt-to-income ratio incorporating the proposed loan. If the ratio exceeds a defined threshold (to be calibrated during the pilot phase and aligned with any guidance issued by the CBL), the borrower receives a clear, plain-language warning that the loan may be unaffordable. The application is not blocked — the borrower </w:t>
      </w:r>
      <w:r>
        <w:lastRenderedPageBreak/>
        <w:t>retains the right to proceed — but the warning is recorded in the loan file and visible to the credit provider.</w:t>
      </w:r>
    </w:p>
    <w:p w14:paraId="38C3EEE7" w14:textId="77777777" w:rsidR="006F5B83" w:rsidRDefault="00000000">
      <w:pPr>
        <w:pStyle w:val="ListParagraph"/>
        <w:numPr>
          <w:ilvl w:val="0"/>
          <w:numId w:val="2"/>
        </w:numPr>
        <w:spacing w:after="80"/>
      </w:pPr>
      <w:proofErr w:type="spellStart"/>
      <w:r>
        <w:rPr>
          <w:b/>
          <w:bCs/>
        </w:rPr>
        <w:t>Standardised</w:t>
      </w:r>
      <w:proofErr w:type="spellEnd"/>
      <w:r>
        <w:rPr>
          <w:b/>
          <w:bCs/>
        </w:rPr>
        <w:t xml:space="preserve"> calculation method: </w:t>
      </w:r>
      <w:r>
        <w:t xml:space="preserve">The total cost of credit (inclusive of all interest, fees, and charges) is calculated and disclosed using the </w:t>
      </w:r>
      <w:proofErr w:type="spellStart"/>
      <w:r>
        <w:t>standardised</w:t>
      </w:r>
      <w:proofErr w:type="spellEnd"/>
      <w:r>
        <w:t xml:space="preserve"> calculation method mandated by Section 13 of the FCP Act 2022. The borrower sees the total amount they will repay, not just the monthly instalment.</w:t>
      </w:r>
    </w:p>
    <w:p w14:paraId="4FB0E98F" w14:textId="77777777" w:rsidR="006F5B83" w:rsidRDefault="00000000">
      <w:pPr>
        <w:pStyle w:val="Heading2"/>
      </w:pPr>
      <w:r>
        <w:t>2.2 Credit Bureau Check Before Every Loan</w:t>
      </w:r>
    </w:p>
    <w:p w14:paraId="50FD0464" w14:textId="77777777" w:rsidR="006F5B83" w:rsidRDefault="00000000">
      <w:pPr>
        <w:pBdr>
          <w:left w:val="single" w:sz="10" w:space="8" w:color="2E7D32"/>
        </w:pBdr>
        <w:spacing w:before="60" w:after="100"/>
        <w:ind w:left="360"/>
      </w:pPr>
      <w:r>
        <w:rPr>
          <w:b/>
          <w:bCs/>
          <w:color w:val="2E7D32"/>
          <w:sz w:val="20"/>
          <w:szCs w:val="20"/>
        </w:rPr>
        <w:t xml:space="preserve">§ FCP Act, Section 26 — </w:t>
      </w:r>
      <w:r>
        <w:rPr>
          <w:color w:val="555555"/>
          <w:sz w:val="20"/>
          <w:szCs w:val="20"/>
        </w:rPr>
        <w:t>A financial service provider shall furnish information to a credit reporting system in accordance with the Credit Reporting Act, 2012.</w:t>
      </w:r>
    </w:p>
    <w:p w14:paraId="159E4A52" w14:textId="77777777" w:rsidR="006F5B83" w:rsidRDefault="00000000">
      <w:pPr>
        <w:pBdr>
          <w:left w:val="single" w:sz="10" w:space="8" w:color="2E7D32"/>
        </w:pBdr>
        <w:spacing w:before="60" w:after="100"/>
        <w:ind w:left="360"/>
      </w:pPr>
      <w:r>
        <w:rPr>
          <w:b/>
          <w:bCs/>
          <w:color w:val="2E7D32"/>
          <w:sz w:val="20"/>
          <w:szCs w:val="20"/>
        </w:rPr>
        <w:t xml:space="preserve">§ FCP Act, Section 27 — </w:t>
      </w:r>
      <w:r>
        <w:rPr>
          <w:color w:val="555555"/>
          <w:sz w:val="20"/>
          <w:szCs w:val="20"/>
        </w:rPr>
        <w:t>A financial service provider shall inform a consumer that checks will be made at a credit reporting system; disclose the identity of the credit bureau; notify the consumer if an application is declined due to credit bureau information; and immediately correct inaccurate information.</w:t>
      </w:r>
    </w:p>
    <w:p w14:paraId="7495E508" w14:textId="77777777" w:rsidR="006F5B83" w:rsidRDefault="00000000">
      <w:pPr>
        <w:spacing w:after="130"/>
        <w:jc w:val="both"/>
      </w:pPr>
      <w:r>
        <w:rPr>
          <w:color w:val="000000"/>
        </w:rPr>
        <w:t>Every loan application on the platform triggers an automated credit bureau check through Experian Lesotho. The credit provider receives the borrower’s credit profile before making a lending decision. The borrower is informed that a credit check will be performed (per Section 27(a)) and is advised of their right to one free credit report per year (per Section 27(c)).</w:t>
      </w:r>
    </w:p>
    <w:p w14:paraId="35805B6B" w14:textId="77777777" w:rsidR="006F5B83" w:rsidRDefault="00000000">
      <w:pPr>
        <w:spacing w:after="130"/>
        <w:jc w:val="both"/>
      </w:pPr>
      <w:r>
        <w:rPr>
          <w:color w:val="000000"/>
        </w:rPr>
        <w:t>If the credit bureau record reveals existing delinquencies or a high debt burden, this information is flagged prominently in the credit provider’s review dashboard. The credit provider makes the final lending decision, but the platform ensures they cannot claim ignorance of the borrower’s existing obligations.</w:t>
      </w:r>
    </w:p>
    <w:p w14:paraId="183FE6EC" w14:textId="77777777" w:rsidR="006F5B83" w:rsidRDefault="00000000">
      <w:pPr>
        <w:pStyle w:val="Heading2"/>
      </w:pPr>
      <w:r>
        <w:t>2.3 Cross-Provider Exposure Check</w:t>
      </w:r>
    </w:p>
    <w:p w14:paraId="668AB769" w14:textId="77777777" w:rsidR="006F5B83" w:rsidRDefault="00000000">
      <w:pPr>
        <w:spacing w:after="130"/>
        <w:jc w:val="both"/>
      </w:pPr>
      <w:r>
        <w:rPr>
          <w:b/>
          <w:bCs/>
        </w:rPr>
        <w:t xml:space="preserve">This is the safeguard that does not exist in Lesotho today. </w:t>
      </w:r>
      <w:r>
        <w:t xml:space="preserve">Because </w:t>
      </w:r>
      <w:proofErr w:type="spellStart"/>
      <w:r>
        <w:t>Fedha</w:t>
      </w:r>
      <w:proofErr w:type="spellEnd"/>
      <w:r>
        <w:t>-Grow is a marketplace with multiple credit providers, the platform has visibility into a borrower’s loans across every provider on the platform. When a borrower applies for a new loan, the credit provider sees not only the Experian credit bureau data but also:</w:t>
      </w:r>
    </w:p>
    <w:p w14:paraId="72AB2284" w14:textId="77777777" w:rsidR="006F5B83" w:rsidRDefault="00000000">
      <w:pPr>
        <w:pStyle w:val="ListParagraph"/>
        <w:numPr>
          <w:ilvl w:val="0"/>
          <w:numId w:val="2"/>
        </w:numPr>
        <w:spacing w:after="80"/>
      </w:pPr>
      <w:r>
        <w:t xml:space="preserve">How many active loans the borrower has on the </w:t>
      </w:r>
      <w:proofErr w:type="spellStart"/>
      <w:r>
        <w:t>Fedha</w:t>
      </w:r>
      <w:proofErr w:type="spellEnd"/>
      <w:r>
        <w:t>-Grow platform.</w:t>
      </w:r>
    </w:p>
    <w:p w14:paraId="2A5806F5" w14:textId="77777777" w:rsidR="006F5B83" w:rsidRDefault="00000000">
      <w:pPr>
        <w:pStyle w:val="ListParagraph"/>
        <w:numPr>
          <w:ilvl w:val="0"/>
          <w:numId w:val="2"/>
        </w:numPr>
        <w:spacing w:after="80"/>
      </w:pPr>
      <w:r>
        <w:t>The total outstanding balance across all platform loans.</w:t>
      </w:r>
    </w:p>
    <w:p w14:paraId="0E0FB927" w14:textId="77777777" w:rsidR="006F5B83" w:rsidRDefault="00000000">
      <w:pPr>
        <w:pStyle w:val="ListParagraph"/>
        <w:numPr>
          <w:ilvl w:val="0"/>
          <w:numId w:val="2"/>
        </w:numPr>
        <w:spacing w:after="80"/>
      </w:pPr>
      <w:r>
        <w:t>Whether any existing loan is in arrears.</w:t>
      </w:r>
    </w:p>
    <w:p w14:paraId="0C3EBFF9" w14:textId="77777777" w:rsidR="006F5B83" w:rsidRDefault="00000000">
      <w:pPr>
        <w:pStyle w:val="ListParagraph"/>
        <w:numPr>
          <w:ilvl w:val="0"/>
          <w:numId w:val="2"/>
        </w:numPr>
        <w:spacing w:after="80"/>
      </w:pPr>
      <w:r>
        <w:t>The borrower’s repayment history on previous platform loans.</w:t>
      </w:r>
    </w:p>
    <w:p w14:paraId="5E576CC7" w14:textId="77777777" w:rsidR="006F5B83" w:rsidRDefault="00000000">
      <w:pPr>
        <w:spacing w:after="130"/>
        <w:jc w:val="both"/>
      </w:pPr>
      <w:r>
        <w:rPr>
          <w:color w:val="000000"/>
        </w:rPr>
        <w:t>This cross-provider visibility is automatic and real-time. A borrower with three active loans and one in arrears cannot present themselves as debt-free to a fourth provider. This directly addresses the risk of over-indebtedness that the Bank has identified.</w:t>
      </w:r>
    </w:p>
    <w:p w14:paraId="5AF4E668" w14:textId="77777777" w:rsidR="006F5B83" w:rsidRDefault="00000000">
      <w:pPr>
        <w:pStyle w:val="Heading2"/>
      </w:pPr>
      <w:r>
        <w:t>2.4 Cooling Off Period</w:t>
      </w:r>
    </w:p>
    <w:p w14:paraId="00381501" w14:textId="77777777" w:rsidR="006F5B83" w:rsidRDefault="00000000">
      <w:pPr>
        <w:pBdr>
          <w:left w:val="single" w:sz="10" w:space="8" w:color="2E7D32"/>
        </w:pBdr>
        <w:spacing w:before="60" w:after="100"/>
        <w:ind w:left="360"/>
      </w:pPr>
      <w:r>
        <w:rPr>
          <w:b/>
          <w:bCs/>
          <w:color w:val="2E7D32"/>
          <w:sz w:val="20"/>
          <w:szCs w:val="20"/>
        </w:rPr>
        <w:t xml:space="preserve">§ FCP Act, Section 15 — </w:t>
      </w:r>
      <w:r>
        <w:rPr>
          <w:color w:val="555555"/>
          <w:sz w:val="20"/>
          <w:szCs w:val="20"/>
        </w:rPr>
        <w:t>A financial service provider shall give a consumer a right to cancel a contract within five working days. Cooling off rights must be disclosed in the key fact statement and the contract. Fees and advances must be refunded on cancellation.</w:t>
      </w:r>
    </w:p>
    <w:p w14:paraId="028A6617" w14:textId="77777777" w:rsidR="006F5B83" w:rsidRDefault="00000000">
      <w:pPr>
        <w:spacing w:after="130"/>
        <w:jc w:val="both"/>
      </w:pPr>
      <w:r>
        <w:rPr>
          <w:color w:val="000000"/>
        </w:rPr>
        <w:t>Every loan agreement executed through the platform includes a mandatory 5-working-day cooling off period. The borrower is notified of their right to cancel in the key fact statement (before signing), in the loan agreement itself, and in the post-agreement confirmation notification (SMS/WhatsApp).</w:t>
      </w:r>
    </w:p>
    <w:p w14:paraId="127B1F9B" w14:textId="77777777" w:rsidR="006F5B83" w:rsidRDefault="00000000">
      <w:pPr>
        <w:spacing w:after="130"/>
        <w:jc w:val="both"/>
      </w:pPr>
      <w:r>
        <w:rPr>
          <w:color w:val="000000"/>
        </w:rPr>
        <w:lastRenderedPageBreak/>
        <w:t xml:space="preserve">If the borrower exercises the cooling off right, the platform records the cancellation, notifies the credit provider, and tracks the refund of any fees or advances. A credit provider that fails to </w:t>
      </w:r>
      <w:proofErr w:type="spellStart"/>
      <w:r>
        <w:rPr>
          <w:color w:val="000000"/>
        </w:rPr>
        <w:t>honour</w:t>
      </w:r>
      <w:proofErr w:type="spellEnd"/>
      <w:r>
        <w:rPr>
          <w:color w:val="000000"/>
        </w:rPr>
        <w:t xml:space="preserve"> the cooling off period is flagged for compliance review.</w:t>
      </w:r>
    </w:p>
    <w:p w14:paraId="18783559" w14:textId="77777777" w:rsidR="006F5B83" w:rsidRDefault="00000000">
      <w:pPr>
        <w:pStyle w:val="Heading2"/>
      </w:pPr>
      <w:r>
        <w:t>2.5 Loan Amount and Frequency Limits</w:t>
      </w:r>
    </w:p>
    <w:p w14:paraId="56A345D3" w14:textId="77777777" w:rsidR="006F5B83" w:rsidRDefault="00000000">
      <w:pPr>
        <w:spacing w:after="130"/>
        <w:jc w:val="both"/>
      </w:pPr>
      <w:r>
        <w:rPr>
          <w:color w:val="000000"/>
        </w:rPr>
        <w:t>To prevent the rapid accumulation of debt through repeated instant borrowing, the platform implements the following controls:</w:t>
      </w:r>
    </w:p>
    <w:p w14:paraId="50BA9178" w14:textId="77777777" w:rsidR="006F5B83" w:rsidRDefault="00000000">
      <w:pPr>
        <w:pStyle w:val="ListParagraph"/>
        <w:numPr>
          <w:ilvl w:val="0"/>
          <w:numId w:val="2"/>
        </w:numPr>
        <w:spacing w:after="80"/>
      </w:pPr>
      <w:r>
        <w:rPr>
          <w:b/>
          <w:bCs/>
        </w:rPr>
        <w:t xml:space="preserve">No simultaneous applications: </w:t>
      </w:r>
      <w:r>
        <w:t>A borrower cannot submit a new loan application while an existing application is pending review by a credit provider. One application at a time.</w:t>
      </w:r>
    </w:p>
    <w:p w14:paraId="206B9AB6" w14:textId="77777777" w:rsidR="006F5B83" w:rsidRDefault="00000000">
      <w:pPr>
        <w:pStyle w:val="ListParagraph"/>
        <w:numPr>
          <w:ilvl w:val="0"/>
          <w:numId w:val="2"/>
        </w:numPr>
        <w:spacing w:after="80"/>
      </w:pPr>
      <w:r>
        <w:rPr>
          <w:b/>
          <w:bCs/>
        </w:rPr>
        <w:t xml:space="preserve">Active loan visibility: </w:t>
      </w:r>
      <w:r>
        <w:t>A borrower with active loans on the platform can apply for additional credit, but the credit provider receives full disclosure of all existing platform obligations. The borrower cannot hide existing debt.</w:t>
      </w:r>
    </w:p>
    <w:p w14:paraId="5B1B0418" w14:textId="77777777" w:rsidR="006F5B83" w:rsidRDefault="00000000">
      <w:pPr>
        <w:pStyle w:val="ListParagraph"/>
        <w:numPr>
          <w:ilvl w:val="0"/>
          <w:numId w:val="2"/>
        </w:numPr>
        <w:spacing w:after="80"/>
      </w:pPr>
      <w:r>
        <w:rPr>
          <w:b/>
          <w:bCs/>
        </w:rPr>
        <w:t xml:space="preserve">Graduated access: </w:t>
      </w:r>
      <w:r>
        <w:t>New borrowers with no platform history start with access to lower loan amounts. As repayment history builds, access to higher amounts becomes available. This prevents first-time borrowers from immediately accessing loans they cannot afford.</w:t>
      </w:r>
    </w:p>
    <w:p w14:paraId="3678ED9A" w14:textId="77777777" w:rsidR="006F5B83" w:rsidRDefault="00000000">
      <w:pPr>
        <w:pStyle w:val="ListParagraph"/>
        <w:numPr>
          <w:ilvl w:val="0"/>
          <w:numId w:val="2"/>
        </w:numPr>
        <w:spacing w:after="80"/>
      </w:pPr>
      <w:r>
        <w:rPr>
          <w:b/>
          <w:bCs/>
        </w:rPr>
        <w:t xml:space="preserve">Cooling period after default: </w:t>
      </w:r>
      <w:r>
        <w:t>A borrower who has defaulted on a platform loan must resolve the default before applying for new credit through the platform. The platform does not enable rolling debt.</w:t>
      </w:r>
    </w:p>
    <w:p w14:paraId="58400177" w14:textId="77777777" w:rsidR="006F5B83" w:rsidRDefault="00000000">
      <w:r>
        <w:br w:type="page"/>
      </w:r>
    </w:p>
    <w:p w14:paraId="2A8507E0" w14:textId="77777777" w:rsidR="006F5B83" w:rsidRDefault="00000000">
      <w:pPr>
        <w:pStyle w:val="Heading1"/>
      </w:pPr>
      <w:r>
        <w:lastRenderedPageBreak/>
        <w:t>3. Pillar 2: System-Wide Visibility</w:t>
      </w:r>
    </w:p>
    <w:p w14:paraId="4C8BE774" w14:textId="77777777" w:rsidR="006F5B83" w:rsidRDefault="00000000">
      <w:pPr>
        <w:pStyle w:val="Heading2"/>
      </w:pPr>
      <w:r>
        <w:t>3.1 The Regulator View</w:t>
      </w:r>
    </w:p>
    <w:p w14:paraId="2E3B2722" w14:textId="77777777" w:rsidR="006F5B83" w:rsidRDefault="00000000">
      <w:pPr>
        <w:spacing w:after="130"/>
        <w:jc w:val="both"/>
      </w:pPr>
      <w:r>
        <w:rPr>
          <w:color w:val="000000"/>
        </w:rPr>
        <w:t>The CBL has access to a dedicated regulator dashboard that provides a real-time, system-wide view of lending activity on the platform. This includes:</w:t>
      </w:r>
    </w:p>
    <w:p w14:paraId="2E58FC99" w14:textId="77777777" w:rsidR="006F5B83" w:rsidRDefault="00000000">
      <w:pPr>
        <w:pStyle w:val="ListParagraph"/>
        <w:numPr>
          <w:ilvl w:val="0"/>
          <w:numId w:val="2"/>
        </w:numPr>
        <w:spacing w:after="80"/>
      </w:pPr>
      <w:r>
        <w:t>Total loan volume: number and value of loans originated, by credit provider, by district, by period.</w:t>
      </w:r>
    </w:p>
    <w:p w14:paraId="26DF4ABB" w14:textId="77777777" w:rsidR="006F5B83" w:rsidRDefault="00000000">
      <w:pPr>
        <w:pStyle w:val="ListParagraph"/>
        <w:numPr>
          <w:ilvl w:val="0"/>
          <w:numId w:val="2"/>
        </w:numPr>
        <w:spacing w:after="80"/>
      </w:pPr>
      <w:r>
        <w:t>Portfolio quality: default rates across the platform, by credit provider, and by loan product.</w:t>
      </w:r>
    </w:p>
    <w:p w14:paraId="5F42B6E8" w14:textId="77777777" w:rsidR="006F5B83" w:rsidRDefault="00000000">
      <w:pPr>
        <w:pStyle w:val="ListParagraph"/>
        <w:numPr>
          <w:ilvl w:val="0"/>
          <w:numId w:val="2"/>
        </w:numPr>
        <w:spacing w:after="80"/>
      </w:pPr>
      <w:r>
        <w:t>Over-indebtedness indicators: number of borrowers with multiple active loans, average debt-to-income ratios, concentration of lending to high-risk borrowers.</w:t>
      </w:r>
    </w:p>
    <w:p w14:paraId="1D6FCD5B" w14:textId="77777777" w:rsidR="006F5B83" w:rsidRDefault="00000000">
      <w:pPr>
        <w:pStyle w:val="ListParagraph"/>
        <w:numPr>
          <w:ilvl w:val="0"/>
          <w:numId w:val="2"/>
        </w:numPr>
        <w:spacing w:after="80"/>
      </w:pPr>
      <w:r>
        <w:t>Complaint volumes: by category, by credit provider, with resolution rates and escalation trends.</w:t>
      </w:r>
    </w:p>
    <w:p w14:paraId="6525E530" w14:textId="77777777" w:rsidR="006F5B83" w:rsidRDefault="00000000">
      <w:pPr>
        <w:pStyle w:val="ListParagraph"/>
        <w:numPr>
          <w:ilvl w:val="0"/>
          <w:numId w:val="2"/>
        </w:numPr>
        <w:spacing w:after="80"/>
      </w:pPr>
      <w:r>
        <w:t>Credit provider compliance: which providers are current on their regulatory obligations, which have been flagged or suspended.</w:t>
      </w:r>
    </w:p>
    <w:p w14:paraId="79D64710" w14:textId="77777777" w:rsidR="006F5B83" w:rsidRDefault="00000000">
      <w:pPr>
        <w:spacing w:after="130"/>
        <w:jc w:val="both"/>
      </w:pPr>
      <w:r>
        <w:rPr>
          <w:color w:val="000000"/>
        </w:rPr>
        <w:t xml:space="preserve">This visibility is the platform’s primary contribution to financial stability. Over-indebtedness is a systemic risk that is invisible when each lender operates independently. The </w:t>
      </w:r>
      <w:proofErr w:type="spellStart"/>
      <w:r>
        <w:rPr>
          <w:color w:val="000000"/>
        </w:rPr>
        <w:t>Fedha</w:t>
      </w:r>
      <w:proofErr w:type="spellEnd"/>
      <w:r>
        <w:rPr>
          <w:color w:val="000000"/>
        </w:rPr>
        <w:t>-Grow platform makes it visible.</w:t>
      </w:r>
    </w:p>
    <w:p w14:paraId="2C712ED8" w14:textId="77777777" w:rsidR="006F5B83" w:rsidRDefault="00000000">
      <w:pPr>
        <w:pStyle w:val="Heading2"/>
      </w:pPr>
      <w:r>
        <w:t>3.2 Mandatory Credit Bureau Reporting</w:t>
      </w:r>
    </w:p>
    <w:p w14:paraId="0D1EDBE1" w14:textId="77777777" w:rsidR="006F5B83" w:rsidRDefault="00000000">
      <w:pPr>
        <w:spacing w:after="130"/>
        <w:jc w:val="both"/>
      </w:pPr>
      <w:r>
        <w:rPr>
          <w:color w:val="000000"/>
        </w:rPr>
        <w:t>Every loan originated through the platform is reported to the approved credit bureau (currently Experian Lesotho) in compliance with Section 26 of the FCP Act 2022 and Regulation 58. This includes:</w:t>
      </w:r>
    </w:p>
    <w:p w14:paraId="73E5FE2F" w14:textId="77777777" w:rsidR="006F5B83" w:rsidRDefault="00000000">
      <w:pPr>
        <w:pStyle w:val="ListParagraph"/>
        <w:numPr>
          <w:ilvl w:val="0"/>
          <w:numId w:val="2"/>
        </w:numPr>
        <w:spacing w:after="80"/>
      </w:pPr>
      <w:r>
        <w:t>Loan origination: amount, date, credit provider, and terms.</w:t>
      </w:r>
    </w:p>
    <w:p w14:paraId="59553ACC" w14:textId="77777777" w:rsidR="006F5B83" w:rsidRDefault="00000000">
      <w:pPr>
        <w:pStyle w:val="ListParagraph"/>
        <w:numPr>
          <w:ilvl w:val="0"/>
          <w:numId w:val="2"/>
        </w:numPr>
        <w:spacing w:after="80"/>
      </w:pPr>
      <w:r>
        <w:t>Repayment performance: on-time payments, late payments, and defaults.</w:t>
      </w:r>
    </w:p>
    <w:p w14:paraId="35BD8957" w14:textId="77777777" w:rsidR="006F5B83" w:rsidRDefault="00000000">
      <w:pPr>
        <w:pStyle w:val="ListParagraph"/>
        <w:numPr>
          <w:ilvl w:val="0"/>
          <w:numId w:val="2"/>
        </w:numPr>
        <w:spacing w:after="80"/>
      </w:pPr>
      <w:r>
        <w:t>Settlement: when a loan is fully repaid.</w:t>
      </w:r>
    </w:p>
    <w:p w14:paraId="434A914B" w14:textId="77777777" w:rsidR="006F5B83" w:rsidRDefault="00000000">
      <w:pPr>
        <w:spacing w:after="130"/>
        <w:jc w:val="both"/>
      </w:pPr>
      <w:r>
        <w:rPr>
          <w:color w:val="000000"/>
        </w:rPr>
        <w:t xml:space="preserve">This ensures that a borrower’s </w:t>
      </w:r>
      <w:proofErr w:type="spellStart"/>
      <w:r>
        <w:rPr>
          <w:color w:val="000000"/>
        </w:rPr>
        <w:t>Fedha</w:t>
      </w:r>
      <w:proofErr w:type="spellEnd"/>
      <w:r>
        <w:rPr>
          <w:color w:val="000000"/>
        </w:rPr>
        <w:t>-Grow lending history is visible to any lender in Lesotho — not only those on the platform. If a borrower applies for credit at a bank or MFI outside the platform, that institution will see the borrower’s full repayment history.</w:t>
      </w:r>
    </w:p>
    <w:p w14:paraId="1EB4B70D" w14:textId="77777777" w:rsidR="006F5B83" w:rsidRDefault="00000000">
      <w:pPr>
        <w:pStyle w:val="Heading2"/>
      </w:pPr>
      <w:r>
        <w:t>3.3 Transparent Pricing and Total Cost Disclosure</w:t>
      </w:r>
    </w:p>
    <w:p w14:paraId="15DF282B" w14:textId="77777777" w:rsidR="006F5B83" w:rsidRDefault="00000000">
      <w:pPr>
        <w:pBdr>
          <w:left w:val="single" w:sz="10" w:space="8" w:color="2E7D32"/>
        </w:pBdr>
        <w:spacing w:before="60" w:after="100"/>
        <w:ind w:left="360"/>
      </w:pPr>
      <w:r>
        <w:rPr>
          <w:b/>
          <w:bCs/>
          <w:color w:val="2E7D32"/>
          <w:sz w:val="20"/>
          <w:szCs w:val="20"/>
        </w:rPr>
        <w:t xml:space="preserve">§ FCP Act, Section 6 — </w:t>
      </w:r>
      <w:r>
        <w:rPr>
          <w:color w:val="555555"/>
          <w:sz w:val="20"/>
          <w:szCs w:val="20"/>
        </w:rPr>
        <w:t xml:space="preserve">A financial service provider shall offer a key fact statement </w:t>
      </w:r>
      <w:proofErr w:type="spellStart"/>
      <w:r>
        <w:rPr>
          <w:color w:val="555555"/>
          <w:sz w:val="20"/>
          <w:szCs w:val="20"/>
        </w:rPr>
        <w:t>summarising</w:t>
      </w:r>
      <w:proofErr w:type="spellEnd"/>
      <w:r>
        <w:rPr>
          <w:color w:val="555555"/>
          <w:sz w:val="20"/>
          <w:szCs w:val="20"/>
        </w:rPr>
        <w:t xml:space="preserve"> key terms and conditions, allowing easier comprehension and comparison across providers.</w:t>
      </w:r>
    </w:p>
    <w:p w14:paraId="2D14C72C" w14:textId="77777777" w:rsidR="006F5B83" w:rsidRDefault="00000000">
      <w:pPr>
        <w:pBdr>
          <w:left w:val="single" w:sz="10" w:space="8" w:color="2E7D32"/>
        </w:pBdr>
        <w:spacing w:before="60" w:after="100"/>
        <w:ind w:left="360"/>
      </w:pPr>
      <w:r>
        <w:rPr>
          <w:b/>
          <w:bCs/>
          <w:color w:val="2E7D32"/>
          <w:sz w:val="20"/>
          <w:szCs w:val="20"/>
        </w:rPr>
        <w:t xml:space="preserve">§ FCP Act, Section 13 — </w:t>
      </w:r>
      <w:r>
        <w:rPr>
          <w:color w:val="555555"/>
          <w:sz w:val="20"/>
          <w:szCs w:val="20"/>
        </w:rPr>
        <w:t xml:space="preserve">A financial service provider shall use a </w:t>
      </w:r>
      <w:proofErr w:type="spellStart"/>
      <w:r>
        <w:rPr>
          <w:color w:val="555555"/>
          <w:sz w:val="20"/>
          <w:szCs w:val="20"/>
        </w:rPr>
        <w:t>standardised</w:t>
      </w:r>
      <w:proofErr w:type="spellEnd"/>
      <w:r>
        <w:rPr>
          <w:color w:val="555555"/>
          <w:sz w:val="20"/>
          <w:szCs w:val="20"/>
        </w:rPr>
        <w:t xml:space="preserve"> calculation method in calculating and disclosing the total cost of or yield on a financial product, inclusive of fees.</w:t>
      </w:r>
    </w:p>
    <w:p w14:paraId="1129BCC0" w14:textId="77777777" w:rsidR="006F5B83" w:rsidRDefault="00000000">
      <w:pPr>
        <w:pBdr>
          <w:left w:val="single" w:sz="10" w:space="8" w:color="2E7D32"/>
        </w:pBdr>
        <w:spacing w:before="60" w:after="100"/>
        <w:ind w:left="360"/>
      </w:pPr>
      <w:r>
        <w:rPr>
          <w:b/>
          <w:bCs/>
          <w:color w:val="2E7D32"/>
          <w:sz w:val="20"/>
          <w:szCs w:val="20"/>
        </w:rPr>
        <w:t xml:space="preserve">§ FCP Act, Section 16 — </w:t>
      </w:r>
      <w:r>
        <w:rPr>
          <w:color w:val="555555"/>
          <w:sz w:val="20"/>
          <w:szCs w:val="20"/>
        </w:rPr>
        <w:t>A financial service provider shall not deduct interest, fees or charges unless previously disclosed and agreed. Amounts deducted in contravention are void and must be refunded with interest.</w:t>
      </w:r>
    </w:p>
    <w:p w14:paraId="093ADC75" w14:textId="77777777" w:rsidR="006F5B83" w:rsidRDefault="00000000">
      <w:pPr>
        <w:spacing w:after="130"/>
        <w:jc w:val="both"/>
      </w:pPr>
      <w:r>
        <w:rPr>
          <w:color w:val="000000"/>
        </w:rPr>
        <w:t xml:space="preserve">The platform </w:t>
      </w:r>
      <w:proofErr w:type="spellStart"/>
      <w:r>
        <w:rPr>
          <w:color w:val="000000"/>
        </w:rPr>
        <w:t>standardises</w:t>
      </w:r>
      <w:proofErr w:type="spellEnd"/>
      <w:r>
        <w:rPr>
          <w:color w:val="000000"/>
        </w:rPr>
        <w:t xml:space="preserve"> how credit providers present their pricing to borrowers. Every credit product listed on the marketplace displays:</w:t>
      </w:r>
    </w:p>
    <w:p w14:paraId="32282BA7" w14:textId="77777777" w:rsidR="006F5B83" w:rsidRDefault="00000000">
      <w:pPr>
        <w:pStyle w:val="ListParagraph"/>
        <w:numPr>
          <w:ilvl w:val="0"/>
          <w:numId w:val="2"/>
        </w:numPr>
        <w:spacing w:after="80"/>
      </w:pPr>
      <w:r>
        <w:t>The interest rate (expressed as a monthly and annual percentage).</w:t>
      </w:r>
    </w:p>
    <w:p w14:paraId="4A1F7385" w14:textId="77777777" w:rsidR="006F5B83" w:rsidRDefault="00000000">
      <w:pPr>
        <w:pStyle w:val="ListParagraph"/>
        <w:numPr>
          <w:ilvl w:val="0"/>
          <w:numId w:val="2"/>
        </w:numPr>
        <w:spacing w:after="80"/>
      </w:pPr>
      <w:r>
        <w:t>All fees and charges (initiation fee, service fee, insurance if applicable).</w:t>
      </w:r>
    </w:p>
    <w:p w14:paraId="339F8497" w14:textId="77777777" w:rsidR="006F5B83" w:rsidRDefault="00000000">
      <w:pPr>
        <w:pStyle w:val="ListParagraph"/>
        <w:numPr>
          <w:ilvl w:val="0"/>
          <w:numId w:val="2"/>
        </w:numPr>
        <w:spacing w:after="80"/>
      </w:pPr>
      <w:r>
        <w:t>The total cost of credit: the full amount the borrower will repay over the life of the loan, calculated using the declining balance method.</w:t>
      </w:r>
    </w:p>
    <w:p w14:paraId="09AE7571" w14:textId="77777777" w:rsidR="006F5B83" w:rsidRDefault="00000000">
      <w:pPr>
        <w:pStyle w:val="ListParagraph"/>
        <w:numPr>
          <w:ilvl w:val="0"/>
          <w:numId w:val="2"/>
        </w:numPr>
        <w:spacing w:after="80"/>
      </w:pPr>
      <w:r>
        <w:lastRenderedPageBreak/>
        <w:t>A comparison metric that allows borrowers to compare products across different providers on a like-for-like basis.</w:t>
      </w:r>
    </w:p>
    <w:p w14:paraId="04DC28B3" w14:textId="77777777" w:rsidR="006F5B83" w:rsidRDefault="00000000">
      <w:pPr>
        <w:spacing w:after="130"/>
        <w:jc w:val="both"/>
      </w:pPr>
      <w:r>
        <w:rPr>
          <w:color w:val="000000"/>
        </w:rPr>
        <w:t>This transparency is enforced by the platform. A credit provider cannot list a product without completing all required pricing fields. The borrower sees the true cost before selecting a provider — not after. This directly prevents the hidden-fee problem that drives over-indebtedness in informal lending.</w:t>
      </w:r>
    </w:p>
    <w:p w14:paraId="0D121ACB" w14:textId="77777777" w:rsidR="006F5B83" w:rsidRDefault="00000000">
      <w:r>
        <w:br w:type="page"/>
      </w:r>
    </w:p>
    <w:p w14:paraId="0A9AA754" w14:textId="77777777" w:rsidR="006F5B83" w:rsidRDefault="00000000">
      <w:pPr>
        <w:pStyle w:val="Heading1"/>
      </w:pPr>
      <w:r>
        <w:lastRenderedPageBreak/>
        <w:t>4. Pillar 3: Early Intervention</w:t>
      </w:r>
    </w:p>
    <w:p w14:paraId="6A12033A" w14:textId="77777777" w:rsidR="006F5B83" w:rsidRDefault="00000000">
      <w:pPr>
        <w:pStyle w:val="Heading2"/>
      </w:pPr>
      <w:r>
        <w:t>4.1 Early Warning System for Financial Difficulty</w:t>
      </w:r>
    </w:p>
    <w:p w14:paraId="5012AD5F" w14:textId="77777777" w:rsidR="006F5B83" w:rsidRDefault="00000000">
      <w:pPr>
        <w:pBdr>
          <w:left w:val="single" w:sz="10" w:space="8" w:color="2E7D32"/>
        </w:pBdr>
        <w:spacing w:before="60" w:after="100"/>
        <w:ind w:left="360"/>
      </w:pPr>
      <w:r>
        <w:rPr>
          <w:b/>
          <w:bCs/>
          <w:color w:val="2E7D32"/>
          <w:sz w:val="20"/>
          <w:szCs w:val="20"/>
        </w:rPr>
        <w:t xml:space="preserve">§ FCP Act, Section 41 — </w:t>
      </w:r>
      <w:r>
        <w:rPr>
          <w:color w:val="555555"/>
          <w:sz w:val="20"/>
          <w:szCs w:val="20"/>
        </w:rPr>
        <w:t>A financial service provider shall establish a mechanism and process to identify its consumer who may be undergoing financial difficulty; and act promptly and efficiently to address a situation with a consumer.</w:t>
      </w:r>
    </w:p>
    <w:p w14:paraId="77920587" w14:textId="77777777" w:rsidR="006F5B83" w:rsidRDefault="00000000">
      <w:pPr>
        <w:spacing w:after="130"/>
        <w:jc w:val="both"/>
      </w:pPr>
      <w:r>
        <w:rPr>
          <w:color w:val="000000"/>
        </w:rPr>
        <w:t xml:space="preserve">The platform monitors borrower </w:t>
      </w:r>
      <w:proofErr w:type="spellStart"/>
      <w:r>
        <w:rPr>
          <w:color w:val="000000"/>
        </w:rPr>
        <w:t>behaviour</w:t>
      </w:r>
      <w:proofErr w:type="spellEnd"/>
      <w:r>
        <w:rPr>
          <w:color w:val="000000"/>
        </w:rPr>
        <w:t xml:space="preserve"> for early warning signals of financial difficulty:</w:t>
      </w:r>
    </w:p>
    <w:p w14:paraId="37EAFB16" w14:textId="77777777" w:rsidR="006F5B83" w:rsidRDefault="00000000">
      <w:pPr>
        <w:pStyle w:val="ListParagraph"/>
        <w:numPr>
          <w:ilvl w:val="0"/>
          <w:numId w:val="2"/>
        </w:numPr>
        <w:spacing w:after="80"/>
      </w:pPr>
      <w:r>
        <w:rPr>
          <w:b/>
          <w:bCs/>
        </w:rPr>
        <w:t xml:space="preserve">Missed payments: </w:t>
      </w:r>
      <w:r>
        <w:t>When a borrower misses an instalment, the platform immediately notifies both the borrower and the credit provider. A single missed payment triggers a reminder. Two consecutive missed payments trigger a financial difficulty flag.</w:t>
      </w:r>
    </w:p>
    <w:p w14:paraId="4CAF5C2C" w14:textId="77777777" w:rsidR="006F5B83" w:rsidRDefault="00000000">
      <w:pPr>
        <w:pStyle w:val="ListParagraph"/>
        <w:numPr>
          <w:ilvl w:val="0"/>
          <w:numId w:val="2"/>
        </w:numPr>
        <w:spacing w:after="80"/>
      </w:pPr>
      <w:r>
        <w:rPr>
          <w:b/>
          <w:bCs/>
        </w:rPr>
        <w:t xml:space="preserve">Partial payments: </w:t>
      </w:r>
      <w:r>
        <w:t>A pattern of partial payments (paying less than the instalment due) is flagged as a potential affordability issue.</w:t>
      </w:r>
    </w:p>
    <w:p w14:paraId="7E6FF460" w14:textId="77777777" w:rsidR="006F5B83" w:rsidRDefault="00000000">
      <w:pPr>
        <w:pStyle w:val="ListParagraph"/>
        <w:numPr>
          <w:ilvl w:val="0"/>
          <w:numId w:val="2"/>
        </w:numPr>
        <w:spacing w:after="80"/>
      </w:pPr>
      <w:r>
        <w:rPr>
          <w:b/>
          <w:bCs/>
        </w:rPr>
        <w:t xml:space="preserve">Multiple active loans with declining repayment: </w:t>
      </w:r>
      <w:r>
        <w:t>If a borrower has multiple active loans on the platform and repayment performance is deteriorating across them, the platform generates a cross-provider financial difficulty alert visible to all affected credit providers.</w:t>
      </w:r>
    </w:p>
    <w:p w14:paraId="27FEF266" w14:textId="77777777" w:rsidR="006F5B83" w:rsidRDefault="00000000">
      <w:pPr>
        <w:pStyle w:val="ListParagraph"/>
        <w:numPr>
          <w:ilvl w:val="0"/>
          <w:numId w:val="2"/>
        </w:numPr>
        <w:spacing w:after="80"/>
      </w:pPr>
      <w:r>
        <w:rPr>
          <w:b/>
          <w:bCs/>
        </w:rPr>
        <w:t xml:space="preserve">Rapid re-borrowing: </w:t>
      </w:r>
      <w:r>
        <w:t>If a borrower settles one loan and immediately applies for another of equal or greater value, this pattern is flagged. It may indicate the borrower is using new debt to service old debt — the classic debt spiral.</w:t>
      </w:r>
    </w:p>
    <w:p w14:paraId="7AA5FFB4" w14:textId="77777777" w:rsidR="006F5B83" w:rsidRDefault="00000000">
      <w:pPr>
        <w:pStyle w:val="Heading2"/>
      </w:pPr>
      <w:r>
        <w:t>4.2 Mandatory Credit Provider Response</w:t>
      </w:r>
    </w:p>
    <w:p w14:paraId="4D4F95A0" w14:textId="77777777" w:rsidR="006F5B83" w:rsidRDefault="00000000">
      <w:pPr>
        <w:spacing w:after="130"/>
        <w:jc w:val="both"/>
      </w:pPr>
      <w:r>
        <w:rPr>
          <w:color w:val="000000"/>
        </w:rPr>
        <w:t>When a financial difficulty flag is raised, the credit provider is contractually required to:</w:t>
      </w:r>
    </w:p>
    <w:p w14:paraId="012BF0EC" w14:textId="77777777" w:rsidR="006F5B83" w:rsidRDefault="00000000">
      <w:pPr>
        <w:pStyle w:val="ListParagraph"/>
        <w:numPr>
          <w:ilvl w:val="0"/>
          <w:numId w:val="2"/>
        </w:numPr>
        <w:spacing w:after="80"/>
      </w:pPr>
      <w:r>
        <w:t>Contact the borrower within 5 business days to discuss the situation.</w:t>
      </w:r>
    </w:p>
    <w:p w14:paraId="0DC64064" w14:textId="77777777" w:rsidR="006F5B83" w:rsidRDefault="00000000">
      <w:pPr>
        <w:pStyle w:val="ListParagraph"/>
        <w:numPr>
          <w:ilvl w:val="0"/>
          <w:numId w:val="2"/>
        </w:numPr>
        <w:spacing w:after="80"/>
      </w:pPr>
      <w:r>
        <w:t>Assess whether the borrower qualifies for a restructured repayment plan (extended term, reduced instalments, temporary payment holiday).</w:t>
      </w:r>
    </w:p>
    <w:p w14:paraId="09A0E7B7" w14:textId="77777777" w:rsidR="006F5B83" w:rsidRDefault="00000000">
      <w:pPr>
        <w:pStyle w:val="ListParagraph"/>
        <w:numPr>
          <w:ilvl w:val="0"/>
          <w:numId w:val="2"/>
        </w:numPr>
        <w:spacing w:after="80"/>
      </w:pPr>
      <w:r>
        <w:t>Document the outcome of the conversation and any agreed restructuring on the platform.</w:t>
      </w:r>
    </w:p>
    <w:p w14:paraId="7CE61CF9" w14:textId="77777777" w:rsidR="006F5B83" w:rsidRDefault="00000000">
      <w:pPr>
        <w:pStyle w:val="ListParagraph"/>
        <w:numPr>
          <w:ilvl w:val="0"/>
          <w:numId w:val="2"/>
        </w:numPr>
        <w:spacing w:after="80"/>
      </w:pPr>
      <w:r>
        <w:t>Not commence enforcement proceedings without first issuing a pre-enforcement notice (per Section 21 of the FCP Act 2022) and observing the minimum notice period.</w:t>
      </w:r>
    </w:p>
    <w:p w14:paraId="22F27B93" w14:textId="77777777" w:rsidR="006F5B83" w:rsidRDefault="00000000">
      <w:pPr>
        <w:spacing w:after="130"/>
        <w:jc w:val="both"/>
      </w:pPr>
      <w:r>
        <w:rPr>
          <w:color w:val="000000"/>
        </w:rPr>
        <w:t>Credit providers that ignore financial difficulty flags or proceed directly to aggressive collection without engaging the borrower are flagged for compliance review and may be suspended from the platform.</w:t>
      </w:r>
    </w:p>
    <w:p w14:paraId="4B7B82E7" w14:textId="77777777" w:rsidR="006F5B83" w:rsidRDefault="00000000">
      <w:pPr>
        <w:pStyle w:val="Heading2"/>
      </w:pPr>
      <w:r>
        <w:t>4.3 Prohibition of Harmful Lending Practices</w:t>
      </w:r>
    </w:p>
    <w:p w14:paraId="5C59C337" w14:textId="77777777" w:rsidR="006F5B83" w:rsidRDefault="00000000">
      <w:pPr>
        <w:spacing w:after="130"/>
        <w:jc w:val="both"/>
      </w:pPr>
      <w:r>
        <w:rPr>
          <w:color w:val="000000"/>
        </w:rPr>
        <w:t>The following practices are prohibited on the platform and constitute grounds for immediate compliance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6F5B83" w14:paraId="522843A2"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7AA2F303" w14:textId="77777777" w:rsidR="006F5B83" w:rsidRDefault="00000000">
            <w:r>
              <w:rPr>
                <w:b/>
                <w:bCs/>
                <w:color w:val="FFFFFF"/>
                <w:sz w:val="20"/>
                <w:szCs w:val="20"/>
              </w:rPr>
              <w:t>Prohibited Practice</w:t>
            </w:r>
          </w:p>
        </w:tc>
        <w:tc>
          <w:tcPr>
            <w:tcW w:w="55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851B8B8" w14:textId="77777777" w:rsidR="006F5B83" w:rsidRDefault="00000000">
            <w:r>
              <w:rPr>
                <w:b/>
                <w:bCs/>
                <w:color w:val="FFFFFF"/>
                <w:sz w:val="20"/>
                <w:szCs w:val="20"/>
              </w:rPr>
              <w:t>FCP Act Reference</w:t>
            </w:r>
          </w:p>
        </w:tc>
      </w:tr>
      <w:tr w:rsidR="006F5B83" w14:paraId="08AFE842"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DB7810E" w14:textId="77777777" w:rsidR="006F5B83" w:rsidRDefault="00000000">
            <w:r>
              <w:rPr>
                <w:b/>
                <w:bCs/>
                <w:color w:val="000000"/>
                <w:sz w:val="20"/>
                <w:szCs w:val="20"/>
              </w:rPr>
              <w:t>Encouraging a borrower to borrow more than requested or affordable</w:t>
            </w:r>
          </w:p>
        </w:tc>
        <w:tc>
          <w:tcPr>
            <w:tcW w:w="5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DEE2CF" w14:textId="77777777" w:rsidR="006F5B83" w:rsidRDefault="00000000">
            <w:r>
              <w:rPr>
                <w:color w:val="000000"/>
                <w:sz w:val="20"/>
                <w:szCs w:val="20"/>
              </w:rPr>
              <w:t xml:space="preserve">Section 24(a): shall not encourage, </w:t>
            </w:r>
            <w:proofErr w:type="spellStart"/>
            <w:r>
              <w:rPr>
                <w:color w:val="000000"/>
                <w:sz w:val="20"/>
                <w:szCs w:val="20"/>
              </w:rPr>
              <w:t>incentivise</w:t>
            </w:r>
            <w:proofErr w:type="spellEnd"/>
            <w:r>
              <w:rPr>
                <w:color w:val="000000"/>
                <w:sz w:val="20"/>
                <w:szCs w:val="20"/>
              </w:rPr>
              <w:t xml:space="preserve"> or induce a consumer to obtain an unsuitable product or enter an agreement for an amount higher than requested or unable to afford.</w:t>
            </w:r>
          </w:p>
        </w:tc>
      </w:tr>
      <w:tr w:rsidR="006F5B83" w14:paraId="54A4BB60"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5F6DE346" w14:textId="77777777" w:rsidR="006F5B83" w:rsidRDefault="00000000">
            <w:r>
              <w:rPr>
                <w:b/>
                <w:bCs/>
                <w:color w:val="000000"/>
                <w:sz w:val="20"/>
                <w:szCs w:val="20"/>
              </w:rPr>
              <w:t>Deducting undisclosed fees or charges</w:t>
            </w:r>
          </w:p>
        </w:tc>
        <w:tc>
          <w:tcPr>
            <w:tcW w:w="5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5B4D038" w14:textId="77777777" w:rsidR="006F5B83" w:rsidRDefault="00000000">
            <w:r>
              <w:rPr>
                <w:color w:val="000000"/>
                <w:sz w:val="20"/>
                <w:szCs w:val="20"/>
              </w:rPr>
              <w:t>Section 16(1): shall not deduct interest, fees or charges unless previously disclosed and agreed. Amount deducted in contravention is void and must be refunded with interest.</w:t>
            </w:r>
          </w:p>
        </w:tc>
      </w:tr>
      <w:tr w:rsidR="006F5B83" w14:paraId="276457A0"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EB53335" w14:textId="77777777" w:rsidR="006F5B83" w:rsidRDefault="00000000">
            <w:r>
              <w:rPr>
                <w:b/>
                <w:bCs/>
                <w:color w:val="000000"/>
                <w:sz w:val="20"/>
                <w:szCs w:val="20"/>
              </w:rPr>
              <w:lastRenderedPageBreak/>
              <w:t>Using the flat interest method to obscure true cost</w:t>
            </w:r>
          </w:p>
        </w:tc>
        <w:tc>
          <w:tcPr>
            <w:tcW w:w="5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87A5039" w14:textId="77777777" w:rsidR="006F5B83" w:rsidRDefault="00000000">
            <w:r>
              <w:rPr>
                <w:color w:val="000000"/>
                <w:sz w:val="20"/>
                <w:szCs w:val="20"/>
              </w:rPr>
              <w:t xml:space="preserve">Section 13: must use </w:t>
            </w:r>
            <w:proofErr w:type="spellStart"/>
            <w:r>
              <w:rPr>
                <w:color w:val="000000"/>
                <w:sz w:val="20"/>
                <w:szCs w:val="20"/>
              </w:rPr>
              <w:t>standardised</w:t>
            </w:r>
            <w:proofErr w:type="spellEnd"/>
            <w:r>
              <w:rPr>
                <w:color w:val="000000"/>
                <w:sz w:val="20"/>
                <w:szCs w:val="20"/>
              </w:rPr>
              <w:t xml:space="preserve"> calculation method (declining balance). Flat interest overstates cost and misleads borrowers.</w:t>
            </w:r>
          </w:p>
        </w:tc>
      </w:tr>
      <w:tr w:rsidR="006F5B83" w14:paraId="3C83F411"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4F826273" w14:textId="77777777" w:rsidR="006F5B83" w:rsidRDefault="00000000">
            <w:r>
              <w:rPr>
                <w:b/>
                <w:bCs/>
                <w:color w:val="000000"/>
                <w:sz w:val="20"/>
                <w:szCs w:val="20"/>
              </w:rPr>
              <w:t>Bundling unwanted products as a lending condition</w:t>
            </w:r>
          </w:p>
        </w:tc>
        <w:tc>
          <w:tcPr>
            <w:tcW w:w="5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5807C100" w14:textId="77777777" w:rsidR="006F5B83" w:rsidRDefault="00000000">
            <w:r>
              <w:rPr>
                <w:color w:val="000000"/>
                <w:sz w:val="20"/>
                <w:szCs w:val="20"/>
              </w:rPr>
              <w:t>Section 11: shall not compel a consumer to contract another product as a condition for receiving a financial product.</w:t>
            </w:r>
          </w:p>
        </w:tc>
      </w:tr>
      <w:tr w:rsidR="006F5B83" w14:paraId="2AC66E4C"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D370C90" w14:textId="77777777" w:rsidR="006F5B83" w:rsidRDefault="00000000">
            <w:r>
              <w:rPr>
                <w:b/>
                <w:bCs/>
                <w:color w:val="000000"/>
                <w:sz w:val="20"/>
                <w:szCs w:val="20"/>
              </w:rPr>
              <w:t>Imposing excessively high default fees</w:t>
            </w:r>
          </w:p>
        </w:tc>
        <w:tc>
          <w:tcPr>
            <w:tcW w:w="5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E9C8BB" w14:textId="77777777" w:rsidR="006F5B83" w:rsidRDefault="00000000">
            <w:r>
              <w:rPr>
                <w:color w:val="000000"/>
                <w:sz w:val="20"/>
                <w:szCs w:val="20"/>
              </w:rPr>
              <w:t>Section 30(2)(a)(</w:t>
            </w:r>
            <w:proofErr w:type="spellStart"/>
            <w:r>
              <w:rPr>
                <w:color w:val="000000"/>
                <w:sz w:val="20"/>
                <w:szCs w:val="20"/>
              </w:rPr>
              <w:t>i</w:t>
            </w:r>
            <w:proofErr w:type="spellEnd"/>
            <w:r>
              <w:rPr>
                <w:color w:val="000000"/>
                <w:sz w:val="20"/>
                <w:szCs w:val="20"/>
              </w:rPr>
              <w:t>): unfair practice includes imposing excessively high default fees.</w:t>
            </w:r>
          </w:p>
        </w:tc>
      </w:tr>
      <w:tr w:rsidR="006F5B83" w14:paraId="14F80D88"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9823493" w14:textId="77777777" w:rsidR="006F5B83" w:rsidRDefault="00000000">
            <w:r>
              <w:rPr>
                <w:b/>
                <w:bCs/>
                <w:color w:val="000000"/>
                <w:sz w:val="20"/>
                <w:szCs w:val="20"/>
              </w:rPr>
              <w:t>Automatic contract renewal without adequate notice</w:t>
            </w:r>
          </w:p>
        </w:tc>
        <w:tc>
          <w:tcPr>
            <w:tcW w:w="5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3327B283" w14:textId="77777777" w:rsidR="006F5B83" w:rsidRDefault="00000000">
            <w:r>
              <w:rPr>
                <w:color w:val="000000"/>
                <w:sz w:val="20"/>
                <w:szCs w:val="20"/>
              </w:rPr>
              <w:t>Section 30(2)(b): unfair practice includes automatically renewing a fixed-length contract or providing opt-out with unreasonably short deadline.</w:t>
            </w:r>
          </w:p>
        </w:tc>
      </w:tr>
      <w:tr w:rsidR="006F5B83" w14:paraId="01D5F612"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B2BC7E4" w14:textId="77777777" w:rsidR="006F5B83" w:rsidRDefault="00000000">
            <w:r>
              <w:rPr>
                <w:b/>
                <w:bCs/>
                <w:color w:val="000000"/>
                <w:sz w:val="20"/>
                <w:szCs w:val="20"/>
              </w:rPr>
              <w:t>Waiving borrower’s rights in the contract</w:t>
            </w:r>
          </w:p>
        </w:tc>
        <w:tc>
          <w:tcPr>
            <w:tcW w:w="5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9A0331F" w14:textId="77777777" w:rsidR="006F5B83" w:rsidRDefault="00000000">
            <w:r>
              <w:rPr>
                <w:color w:val="000000"/>
                <w:sz w:val="20"/>
                <w:szCs w:val="20"/>
              </w:rPr>
              <w:t>Section 31: shall not include provisions waiving a consumer’s right to sue, receive information, submit a complaint, or repay early.</w:t>
            </w:r>
          </w:p>
        </w:tc>
      </w:tr>
      <w:tr w:rsidR="006F5B83" w14:paraId="11C2B5B6"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084DC0CC" w14:textId="77777777" w:rsidR="006F5B83" w:rsidRDefault="00000000">
            <w:r>
              <w:rPr>
                <w:b/>
                <w:bCs/>
                <w:color w:val="000000"/>
                <w:sz w:val="20"/>
                <w:szCs w:val="20"/>
              </w:rPr>
              <w:t xml:space="preserve">Refusing early repayment or </w:t>
            </w:r>
            <w:proofErr w:type="spellStart"/>
            <w:r>
              <w:rPr>
                <w:b/>
                <w:bCs/>
                <w:color w:val="000000"/>
                <w:sz w:val="20"/>
                <w:szCs w:val="20"/>
              </w:rPr>
              <w:t>penalising</w:t>
            </w:r>
            <w:proofErr w:type="spellEnd"/>
            <w:r>
              <w:rPr>
                <w:b/>
                <w:bCs/>
                <w:color w:val="000000"/>
                <w:sz w:val="20"/>
                <w:szCs w:val="20"/>
              </w:rPr>
              <w:t xml:space="preserve"> excessively</w:t>
            </w:r>
          </w:p>
        </w:tc>
        <w:tc>
          <w:tcPr>
            <w:tcW w:w="5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29EA04B1" w14:textId="77777777" w:rsidR="006F5B83" w:rsidRDefault="00000000">
            <w:r>
              <w:rPr>
                <w:color w:val="000000"/>
                <w:sz w:val="20"/>
                <w:szCs w:val="20"/>
              </w:rPr>
              <w:t>Section 32: consumer has the right to make advance payment at any time. Outstanding obligation recalculated on outstanding principal and interest as of prepayment date.</w:t>
            </w:r>
          </w:p>
        </w:tc>
      </w:tr>
      <w:tr w:rsidR="006F5B83" w14:paraId="70BB913A"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5C1D347" w14:textId="77777777" w:rsidR="006F5B83" w:rsidRDefault="00000000">
            <w:r>
              <w:rPr>
                <w:b/>
                <w:bCs/>
                <w:color w:val="000000"/>
                <w:sz w:val="20"/>
                <w:szCs w:val="20"/>
              </w:rPr>
              <w:t>Harassment or threats in debt collection</w:t>
            </w:r>
          </w:p>
        </w:tc>
        <w:tc>
          <w:tcPr>
            <w:tcW w:w="55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7D35048" w14:textId="77777777" w:rsidR="006F5B83" w:rsidRDefault="00000000">
            <w:r>
              <w:rPr>
                <w:color w:val="000000"/>
                <w:sz w:val="20"/>
                <w:szCs w:val="20"/>
              </w:rPr>
              <w:t xml:space="preserve">Section 39: shall not use false statements, harassment, give </w:t>
            </w:r>
            <w:proofErr w:type="spellStart"/>
            <w:r>
              <w:rPr>
                <w:color w:val="000000"/>
                <w:sz w:val="20"/>
                <w:szCs w:val="20"/>
              </w:rPr>
              <w:t>unauthorised</w:t>
            </w:r>
            <w:proofErr w:type="spellEnd"/>
            <w:r>
              <w:rPr>
                <w:color w:val="000000"/>
                <w:sz w:val="20"/>
                <w:szCs w:val="20"/>
              </w:rPr>
              <w:t xml:space="preserve"> credit information to third parties, or retain ATM cards, passports, or identity documents.</w:t>
            </w:r>
          </w:p>
        </w:tc>
      </w:tr>
      <w:tr w:rsidR="006F5B83" w14:paraId="03529980" w14:textId="77777777">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66BF4B50" w14:textId="77777777" w:rsidR="006F5B83" w:rsidRDefault="00000000">
            <w:r>
              <w:rPr>
                <w:b/>
                <w:bCs/>
                <w:color w:val="000000"/>
                <w:sz w:val="20"/>
                <w:szCs w:val="20"/>
              </w:rPr>
              <w:t>Discrimination in lending decisions</w:t>
            </w:r>
          </w:p>
        </w:tc>
        <w:tc>
          <w:tcPr>
            <w:tcW w:w="55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53B935D2" w14:textId="77777777" w:rsidR="006F5B83" w:rsidRDefault="00000000">
            <w:r>
              <w:rPr>
                <w:color w:val="000000"/>
                <w:sz w:val="20"/>
                <w:szCs w:val="20"/>
              </w:rPr>
              <w:t>Section 22: shall not discriminate based on gender, marital status, ethnicity, sexual orientation, religion, political belief, disability, or any other protected class.</w:t>
            </w:r>
          </w:p>
        </w:tc>
      </w:tr>
    </w:tbl>
    <w:p w14:paraId="12D77FAC" w14:textId="77777777" w:rsidR="006F5B83" w:rsidRDefault="00000000">
      <w:r>
        <w:br w:type="page"/>
      </w:r>
    </w:p>
    <w:p w14:paraId="7049977D" w14:textId="77777777" w:rsidR="006F5B83" w:rsidRDefault="00000000">
      <w:pPr>
        <w:pStyle w:val="Heading1"/>
      </w:pPr>
      <w:r>
        <w:lastRenderedPageBreak/>
        <w:t>5. Platform-Level Enforcement</w:t>
      </w:r>
    </w:p>
    <w:p w14:paraId="52459B7B" w14:textId="77777777" w:rsidR="006F5B83" w:rsidRDefault="00000000">
      <w:pPr>
        <w:spacing w:after="130"/>
        <w:jc w:val="both"/>
      </w:pPr>
      <w:r>
        <w:rPr>
          <w:color w:val="000000"/>
        </w:rPr>
        <w:t>The safeguards described in this document are not merely policies that credit providers promise to follow. They are enforced at the platform level through the following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F5B83" w14:paraId="24FB31D9"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536AAE4D" w14:textId="77777777" w:rsidR="006F5B83" w:rsidRDefault="00000000">
            <w:r>
              <w:rPr>
                <w:b/>
                <w:bCs/>
                <w:color w:val="FFFFFF"/>
                <w:sz w:val="20"/>
                <w:szCs w:val="20"/>
              </w:rPr>
              <w:t>Safeguard</w:t>
            </w:r>
          </w:p>
        </w:tc>
        <w:tc>
          <w:tcPr>
            <w:tcW w:w="616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3EAD9A09" w14:textId="77777777" w:rsidR="006F5B83" w:rsidRDefault="00000000">
            <w:r>
              <w:rPr>
                <w:b/>
                <w:bCs/>
                <w:color w:val="FFFFFF"/>
                <w:sz w:val="20"/>
                <w:szCs w:val="20"/>
              </w:rPr>
              <w:t>Enforcement Mechanism</w:t>
            </w:r>
          </w:p>
        </w:tc>
      </w:tr>
      <w:tr w:rsidR="006F5B83" w14:paraId="5AD4179E"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3B41EDC" w14:textId="77777777" w:rsidR="006F5B83" w:rsidRDefault="00000000">
            <w:r>
              <w:rPr>
                <w:b/>
                <w:bCs/>
                <w:color w:val="000000"/>
                <w:sz w:val="20"/>
                <w:szCs w:val="20"/>
              </w:rPr>
              <w:t>Affordability assessment</w:t>
            </w:r>
          </w:p>
        </w:tc>
        <w:tc>
          <w:tcPr>
            <w:tcW w:w="61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010AD45" w14:textId="77777777" w:rsidR="006F5B83" w:rsidRDefault="00000000">
            <w:r>
              <w:rPr>
                <w:color w:val="000000"/>
                <w:sz w:val="20"/>
                <w:szCs w:val="20"/>
              </w:rPr>
              <w:t>Platform gate: the loan application cannot proceed to the credit provider without a completed affordability assessment. There is no override. The data fields are mandatory.</w:t>
            </w:r>
          </w:p>
        </w:tc>
      </w:tr>
      <w:tr w:rsidR="006F5B83" w14:paraId="29D4023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59AE34A" w14:textId="77777777" w:rsidR="006F5B83" w:rsidRDefault="00000000">
            <w:r>
              <w:rPr>
                <w:b/>
                <w:bCs/>
                <w:color w:val="000000"/>
                <w:sz w:val="20"/>
                <w:szCs w:val="20"/>
              </w:rPr>
              <w:t>Credit bureau check</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720E4E05" w14:textId="77777777" w:rsidR="006F5B83" w:rsidRDefault="00000000">
            <w:r>
              <w:rPr>
                <w:color w:val="000000"/>
                <w:sz w:val="20"/>
                <w:szCs w:val="20"/>
              </w:rPr>
              <w:t xml:space="preserve">Automated: the platform triggers the Experian check as part of the application flow. The credit provider receives the result before </w:t>
            </w:r>
            <w:proofErr w:type="gramStart"/>
            <w:r>
              <w:rPr>
                <w:color w:val="000000"/>
                <w:sz w:val="20"/>
                <w:szCs w:val="20"/>
              </w:rPr>
              <w:t>making a decision</w:t>
            </w:r>
            <w:proofErr w:type="gramEnd"/>
            <w:r>
              <w:rPr>
                <w:color w:val="000000"/>
                <w:sz w:val="20"/>
                <w:szCs w:val="20"/>
              </w:rPr>
              <w:t>. No manual step required.</w:t>
            </w:r>
          </w:p>
        </w:tc>
      </w:tr>
      <w:tr w:rsidR="006F5B83" w14:paraId="4238460F"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566B1B5" w14:textId="77777777" w:rsidR="006F5B83" w:rsidRDefault="00000000">
            <w:r>
              <w:rPr>
                <w:b/>
                <w:bCs/>
                <w:color w:val="000000"/>
                <w:sz w:val="20"/>
                <w:szCs w:val="20"/>
              </w:rPr>
              <w:t>Cross-provider exposure</w:t>
            </w:r>
          </w:p>
        </w:tc>
        <w:tc>
          <w:tcPr>
            <w:tcW w:w="61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0FBC348A" w14:textId="77777777" w:rsidR="006F5B83" w:rsidRDefault="00000000">
            <w:r>
              <w:rPr>
                <w:color w:val="000000"/>
                <w:sz w:val="20"/>
                <w:szCs w:val="20"/>
              </w:rPr>
              <w:t>Automatic: the platform aggregates the borrower’s active loans across all platform providers and presents the summary to the reviewing credit provider. Cannot be hidden.</w:t>
            </w:r>
          </w:p>
        </w:tc>
      </w:tr>
      <w:tr w:rsidR="006F5B83" w14:paraId="5B0658DD"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03E48292" w14:textId="77777777" w:rsidR="006F5B83" w:rsidRDefault="00000000">
            <w:r>
              <w:rPr>
                <w:b/>
                <w:bCs/>
                <w:color w:val="000000"/>
                <w:sz w:val="20"/>
                <w:szCs w:val="20"/>
              </w:rPr>
              <w:t>Pricing transparency</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7071DBB3" w14:textId="77777777" w:rsidR="006F5B83" w:rsidRDefault="00000000">
            <w:r>
              <w:rPr>
                <w:color w:val="000000"/>
                <w:sz w:val="20"/>
                <w:szCs w:val="20"/>
              </w:rPr>
              <w:t xml:space="preserve">Mandatory fields: credit providers cannot list products without completing all pricing fields (interest rate, fees, total cost). The platform calculates the </w:t>
            </w:r>
            <w:proofErr w:type="spellStart"/>
            <w:r>
              <w:rPr>
                <w:color w:val="000000"/>
                <w:sz w:val="20"/>
                <w:szCs w:val="20"/>
              </w:rPr>
              <w:t>standardised</w:t>
            </w:r>
            <w:proofErr w:type="spellEnd"/>
            <w:r>
              <w:rPr>
                <w:color w:val="000000"/>
                <w:sz w:val="20"/>
                <w:szCs w:val="20"/>
              </w:rPr>
              <w:t xml:space="preserve"> total cost automatically.</w:t>
            </w:r>
          </w:p>
        </w:tc>
      </w:tr>
      <w:tr w:rsidR="006F5B83" w14:paraId="38691568"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8BF346" w14:textId="77777777" w:rsidR="006F5B83" w:rsidRDefault="00000000">
            <w:r>
              <w:rPr>
                <w:b/>
                <w:bCs/>
                <w:color w:val="000000"/>
                <w:sz w:val="20"/>
                <w:szCs w:val="20"/>
              </w:rPr>
              <w:t>Cooling off disclosure</w:t>
            </w:r>
          </w:p>
        </w:tc>
        <w:tc>
          <w:tcPr>
            <w:tcW w:w="61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D0087DE" w14:textId="77777777" w:rsidR="006F5B83" w:rsidRDefault="00000000">
            <w:r>
              <w:rPr>
                <w:color w:val="000000"/>
                <w:sz w:val="20"/>
                <w:szCs w:val="20"/>
              </w:rPr>
              <w:t>Embedded in every loan agreement generated by the platform. Cannot be removed by the credit provider. Borrower receives separate notification of cooling off rights.</w:t>
            </w:r>
          </w:p>
        </w:tc>
      </w:tr>
      <w:tr w:rsidR="006F5B83" w14:paraId="32C7BCB4"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326714BE" w14:textId="77777777" w:rsidR="006F5B83" w:rsidRDefault="00000000">
            <w:r>
              <w:rPr>
                <w:b/>
                <w:bCs/>
                <w:color w:val="000000"/>
                <w:sz w:val="20"/>
                <w:szCs w:val="20"/>
              </w:rPr>
              <w:t>Simultaneous application block</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37938E52" w14:textId="77777777" w:rsidR="006F5B83" w:rsidRDefault="00000000">
            <w:r>
              <w:rPr>
                <w:color w:val="000000"/>
                <w:sz w:val="20"/>
                <w:szCs w:val="20"/>
              </w:rPr>
              <w:t>Platform rule: a borrower with a pending application cannot submit another until the first is resolved (approved, declined, or withdrawn).</w:t>
            </w:r>
          </w:p>
        </w:tc>
      </w:tr>
      <w:tr w:rsidR="006F5B83" w14:paraId="70057C0E"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39F01DC" w14:textId="77777777" w:rsidR="006F5B83" w:rsidRDefault="00000000">
            <w:r>
              <w:rPr>
                <w:b/>
                <w:bCs/>
                <w:color w:val="000000"/>
                <w:sz w:val="20"/>
                <w:szCs w:val="20"/>
              </w:rPr>
              <w:t>Default cooling period</w:t>
            </w:r>
          </w:p>
        </w:tc>
        <w:tc>
          <w:tcPr>
            <w:tcW w:w="61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6171ECC" w14:textId="77777777" w:rsidR="006F5B83" w:rsidRDefault="00000000">
            <w:r>
              <w:rPr>
                <w:color w:val="000000"/>
                <w:sz w:val="20"/>
                <w:szCs w:val="20"/>
              </w:rPr>
              <w:t>Platform rule: a borrower with a defaulted loan cannot submit a new application until the default is resolved.</w:t>
            </w:r>
          </w:p>
        </w:tc>
      </w:tr>
      <w:tr w:rsidR="006F5B83" w14:paraId="49680910"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D752058" w14:textId="77777777" w:rsidR="006F5B83" w:rsidRDefault="00000000">
            <w:r>
              <w:rPr>
                <w:b/>
                <w:bCs/>
                <w:color w:val="000000"/>
                <w:sz w:val="20"/>
                <w:szCs w:val="20"/>
              </w:rPr>
              <w:t>Financial difficulty alerts</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3166A22B" w14:textId="77777777" w:rsidR="006F5B83" w:rsidRDefault="00000000">
            <w:r>
              <w:rPr>
                <w:color w:val="000000"/>
                <w:sz w:val="20"/>
                <w:szCs w:val="20"/>
              </w:rPr>
              <w:t xml:space="preserve">Automated monitoring: missed payments, partial payments, and deteriorating cross-provider performance trigger alerts visible to the credit provider and </w:t>
            </w:r>
            <w:proofErr w:type="spellStart"/>
            <w:r>
              <w:rPr>
                <w:color w:val="000000"/>
                <w:sz w:val="20"/>
                <w:szCs w:val="20"/>
              </w:rPr>
              <w:t>Fedha</w:t>
            </w:r>
            <w:proofErr w:type="spellEnd"/>
            <w:r>
              <w:rPr>
                <w:color w:val="000000"/>
                <w:sz w:val="20"/>
                <w:szCs w:val="20"/>
              </w:rPr>
              <w:t>-Grow’s compliance team.</w:t>
            </w:r>
          </w:p>
        </w:tc>
      </w:tr>
      <w:tr w:rsidR="006F5B83" w14:paraId="28C16A0F"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3730828E" w14:textId="77777777" w:rsidR="006F5B83" w:rsidRDefault="00000000">
            <w:r>
              <w:rPr>
                <w:b/>
                <w:bCs/>
                <w:color w:val="000000"/>
                <w:sz w:val="20"/>
                <w:szCs w:val="20"/>
              </w:rPr>
              <w:t>CBL regulator view</w:t>
            </w:r>
          </w:p>
        </w:tc>
        <w:tc>
          <w:tcPr>
            <w:tcW w:w="616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B0D4FF6" w14:textId="77777777" w:rsidR="006F5B83" w:rsidRDefault="00000000">
            <w:r>
              <w:rPr>
                <w:color w:val="000000"/>
                <w:sz w:val="20"/>
                <w:szCs w:val="20"/>
              </w:rPr>
              <w:t>Live dashboard: the CBL can see system-wide lending patterns, over-indebtedness indicators, and credit provider compliance in real time.</w:t>
            </w:r>
          </w:p>
        </w:tc>
      </w:tr>
      <w:tr w:rsidR="006F5B83" w14:paraId="3C04163B"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F0E8530" w14:textId="77777777" w:rsidR="006F5B83" w:rsidRDefault="00000000">
            <w:r>
              <w:rPr>
                <w:b/>
                <w:bCs/>
                <w:color w:val="000000"/>
                <w:sz w:val="20"/>
                <w:szCs w:val="20"/>
              </w:rPr>
              <w:t>Audit trail</w:t>
            </w:r>
          </w:p>
        </w:tc>
        <w:tc>
          <w:tcPr>
            <w:tcW w:w="616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0B183DB6" w14:textId="77777777" w:rsidR="006F5B83" w:rsidRDefault="00000000">
            <w:r>
              <w:rPr>
                <w:color w:val="000000"/>
                <w:sz w:val="20"/>
                <w:szCs w:val="20"/>
              </w:rPr>
              <w:t>Every action on the platform is logged with timestamp, actor, and outcome. The full lifecycle of every loan — from application through affordability assessment, credit check, agreement, disbursement, repayment, and settlement — is recorded and retained for a minimum of 7 years.</w:t>
            </w:r>
          </w:p>
        </w:tc>
      </w:tr>
    </w:tbl>
    <w:p w14:paraId="03D5A83C" w14:textId="77777777" w:rsidR="006F5B83" w:rsidRDefault="00000000">
      <w:pPr>
        <w:pStyle w:val="Heading1"/>
      </w:pPr>
      <w:r>
        <w:t xml:space="preserve">6. How </w:t>
      </w:r>
      <w:proofErr w:type="spellStart"/>
      <w:r>
        <w:t>Fedha</w:t>
      </w:r>
      <w:proofErr w:type="spellEnd"/>
      <w:r>
        <w:t>-Grow Differs from Instant Credit Platforms</w:t>
      </w:r>
    </w:p>
    <w:p w14:paraId="36A3AE42" w14:textId="77777777" w:rsidR="006F5B83" w:rsidRDefault="00000000">
      <w:pPr>
        <w:spacing w:after="130"/>
        <w:jc w:val="both"/>
      </w:pPr>
      <w:r>
        <w:rPr>
          <w:color w:val="000000"/>
        </w:rPr>
        <w:t xml:space="preserve">The Bank’s concern about over-indebtedness from instant credit is well-founded. Platforms that offer instant, unsupervised digital credit (such as those that have caused debt spirals in other African markets) typically share certain features that </w:t>
      </w:r>
      <w:proofErr w:type="spellStart"/>
      <w:r>
        <w:rPr>
          <w:color w:val="000000"/>
        </w:rPr>
        <w:t>Fedha</w:t>
      </w:r>
      <w:proofErr w:type="spellEnd"/>
      <w:r>
        <w:rPr>
          <w:color w:val="000000"/>
        </w:rPr>
        <w:t>-Grow deliberately avoids: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6F5B83" w14:paraId="28EE0F9B"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4060F71D" w14:textId="77777777" w:rsidR="006F5B83" w:rsidRDefault="00000000">
            <w:r>
              <w:rPr>
                <w:b/>
                <w:bCs/>
                <w:color w:val="FFFFFF"/>
                <w:sz w:val="20"/>
                <w:szCs w:val="20"/>
              </w:rPr>
              <w:lastRenderedPageBreak/>
              <w:t>Feature</w:t>
            </w:r>
          </w:p>
        </w:tc>
        <w:tc>
          <w:tcPr>
            <w:tcW w:w="268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62F4E4E8" w14:textId="77777777" w:rsidR="006F5B83" w:rsidRDefault="00000000">
            <w:r>
              <w:rPr>
                <w:b/>
                <w:bCs/>
                <w:color w:val="FFFFFF"/>
                <w:sz w:val="20"/>
                <w:szCs w:val="20"/>
              </w:rPr>
              <w:t>Typical Instant Credit Platform</w:t>
            </w:r>
          </w:p>
        </w:tc>
        <w:tc>
          <w:tcPr>
            <w:tcW w:w="2680" w:type="dxa"/>
            <w:tcBorders>
              <w:top w:val="single" w:sz="1" w:space="0" w:color="999999"/>
              <w:left w:val="single" w:sz="1" w:space="0" w:color="999999"/>
              <w:bottom w:val="single" w:sz="1" w:space="0" w:color="999999"/>
              <w:right w:val="single" w:sz="1" w:space="0" w:color="999999"/>
            </w:tcBorders>
            <w:shd w:val="clear" w:color="auto" w:fill="1F4E79"/>
            <w:tcMar>
              <w:top w:w="100" w:type="dxa"/>
              <w:left w:w="140" w:type="dxa"/>
              <w:bottom w:w="100" w:type="dxa"/>
              <w:right w:w="140" w:type="dxa"/>
            </w:tcMar>
            <w:vAlign w:val="center"/>
          </w:tcPr>
          <w:p w14:paraId="67FE7C29" w14:textId="77777777" w:rsidR="006F5B83" w:rsidRDefault="00000000">
            <w:proofErr w:type="spellStart"/>
            <w:r>
              <w:rPr>
                <w:b/>
                <w:bCs/>
                <w:color w:val="FFFFFF"/>
                <w:sz w:val="20"/>
                <w:szCs w:val="20"/>
              </w:rPr>
              <w:t>Fedha</w:t>
            </w:r>
            <w:proofErr w:type="spellEnd"/>
            <w:r>
              <w:rPr>
                <w:b/>
                <w:bCs/>
                <w:color w:val="FFFFFF"/>
                <w:sz w:val="20"/>
                <w:szCs w:val="20"/>
              </w:rPr>
              <w:t>-Grow</w:t>
            </w:r>
          </w:p>
        </w:tc>
      </w:tr>
      <w:tr w:rsidR="006F5B83" w14:paraId="5553652A"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4FD97790" w14:textId="77777777" w:rsidR="006F5B83" w:rsidRDefault="00000000">
            <w:r>
              <w:rPr>
                <w:b/>
                <w:bCs/>
                <w:color w:val="000000"/>
                <w:sz w:val="20"/>
                <w:szCs w:val="20"/>
              </w:rPr>
              <w:t>Who lends?</w:t>
            </w:r>
          </w:p>
        </w:tc>
        <w:tc>
          <w:tcPr>
            <w:tcW w:w="26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64CCA960" w14:textId="77777777" w:rsidR="006F5B83" w:rsidRDefault="00000000">
            <w:r>
              <w:rPr>
                <w:color w:val="000000"/>
                <w:sz w:val="20"/>
                <w:szCs w:val="20"/>
              </w:rPr>
              <w:t>The platform itself lends directly</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1A8AAE74" w14:textId="77777777" w:rsidR="006F5B83" w:rsidRDefault="00000000">
            <w:r>
              <w:rPr>
                <w:color w:val="000000"/>
                <w:sz w:val="20"/>
                <w:szCs w:val="20"/>
              </w:rPr>
              <w:t xml:space="preserve">Licensed credit providers lend. </w:t>
            </w:r>
            <w:proofErr w:type="spellStart"/>
            <w:r>
              <w:rPr>
                <w:color w:val="000000"/>
                <w:sz w:val="20"/>
                <w:szCs w:val="20"/>
              </w:rPr>
              <w:t>Fedha</w:t>
            </w:r>
            <w:proofErr w:type="spellEnd"/>
            <w:r>
              <w:rPr>
                <w:color w:val="000000"/>
                <w:sz w:val="20"/>
                <w:szCs w:val="20"/>
              </w:rPr>
              <w:t>-Grow does not lend.</w:t>
            </w:r>
          </w:p>
        </w:tc>
      </w:tr>
      <w:tr w:rsidR="006F5B83" w14:paraId="33C07D85"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7B5CF1F8" w14:textId="77777777" w:rsidR="006F5B83" w:rsidRDefault="00000000">
            <w:r>
              <w:rPr>
                <w:b/>
                <w:bCs/>
                <w:color w:val="000000"/>
                <w:sz w:val="20"/>
                <w:szCs w:val="20"/>
              </w:rPr>
              <w:t>Affordability check?</w:t>
            </w:r>
          </w:p>
        </w:tc>
        <w:tc>
          <w:tcPr>
            <w:tcW w:w="268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37BB9EA5" w14:textId="77777777" w:rsidR="006F5B83" w:rsidRDefault="00000000">
            <w:r>
              <w:rPr>
                <w:color w:val="000000"/>
                <w:sz w:val="20"/>
                <w:szCs w:val="20"/>
              </w:rPr>
              <w:t>Minimal or none. Algorithm approves in seconds.</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33C1FAD5" w14:textId="77777777" w:rsidR="006F5B83" w:rsidRDefault="00000000">
            <w:r>
              <w:rPr>
                <w:color w:val="000000"/>
                <w:sz w:val="20"/>
                <w:szCs w:val="20"/>
              </w:rPr>
              <w:t>Mandatory platform-level affordability assessment. Cannot be bypassed.</w:t>
            </w:r>
          </w:p>
        </w:tc>
      </w:tr>
      <w:tr w:rsidR="006F5B83" w14:paraId="3EE6BBDA"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A9C1D5F" w14:textId="77777777" w:rsidR="006F5B83" w:rsidRDefault="00000000">
            <w:r>
              <w:rPr>
                <w:b/>
                <w:bCs/>
                <w:color w:val="000000"/>
                <w:sz w:val="20"/>
                <w:szCs w:val="20"/>
              </w:rPr>
              <w:t>Credit bureau check?</w:t>
            </w:r>
          </w:p>
        </w:tc>
        <w:tc>
          <w:tcPr>
            <w:tcW w:w="26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521FBF58" w14:textId="77777777" w:rsidR="006F5B83" w:rsidRDefault="00000000">
            <w:r>
              <w:rPr>
                <w:color w:val="000000"/>
                <w:sz w:val="20"/>
                <w:szCs w:val="20"/>
              </w:rPr>
              <w:t>Often skipped for speed.</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26FC7A26" w14:textId="77777777" w:rsidR="006F5B83" w:rsidRDefault="00000000">
            <w:r>
              <w:rPr>
                <w:color w:val="000000"/>
                <w:sz w:val="20"/>
                <w:szCs w:val="20"/>
              </w:rPr>
              <w:t>Automated Experian check on every application.</w:t>
            </w:r>
          </w:p>
        </w:tc>
      </w:tr>
      <w:tr w:rsidR="006F5B83" w14:paraId="2FC13A10"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34C16EF1" w14:textId="77777777" w:rsidR="006F5B83" w:rsidRDefault="00000000">
            <w:r>
              <w:rPr>
                <w:b/>
                <w:bCs/>
                <w:color w:val="000000"/>
                <w:sz w:val="20"/>
                <w:szCs w:val="20"/>
              </w:rPr>
              <w:t>Cross-provider visibility?</w:t>
            </w:r>
          </w:p>
        </w:tc>
        <w:tc>
          <w:tcPr>
            <w:tcW w:w="268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7BC9D7BB" w14:textId="77777777" w:rsidR="006F5B83" w:rsidRDefault="00000000">
            <w:r>
              <w:rPr>
                <w:color w:val="000000"/>
                <w:sz w:val="20"/>
                <w:szCs w:val="20"/>
              </w:rPr>
              <w:t>None. Borrower can have loans on multiple platforms simultaneously without detection.</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09662C61" w14:textId="77777777" w:rsidR="006F5B83" w:rsidRDefault="00000000">
            <w:r>
              <w:rPr>
                <w:color w:val="000000"/>
                <w:sz w:val="20"/>
                <w:szCs w:val="20"/>
              </w:rPr>
              <w:t>Full cross-provider exposure visible to every credit provider on the platform.</w:t>
            </w:r>
          </w:p>
        </w:tc>
      </w:tr>
      <w:tr w:rsidR="006F5B83" w14:paraId="6C9461B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22DD53D4" w14:textId="77777777" w:rsidR="006F5B83" w:rsidRDefault="00000000">
            <w:r>
              <w:rPr>
                <w:b/>
                <w:bCs/>
                <w:color w:val="000000"/>
                <w:sz w:val="20"/>
                <w:szCs w:val="20"/>
              </w:rPr>
              <w:t>Cooling off period?</w:t>
            </w:r>
          </w:p>
        </w:tc>
        <w:tc>
          <w:tcPr>
            <w:tcW w:w="26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FE5A197" w14:textId="77777777" w:rsidR="006F5B83" w:rsidRDefault="00000000">
            <w:r>
              <w:rPr>
                <w:color w:val="000000"/>
                <w:sz w:val="20"/>
                <w:szCs w:val="20"/>
              </w:rPr>
              <w:t>Rarely offered.</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4774F2D3" w14:textId="77777777" w:rsidR="006F5B83" w:rsidRDefault="00000000">
            <w:r>
              <w:rPr>
                <w:color w:val="000000"/>
                <w:sz w:val="20"/>
                <w:szCs w:val="20"/>
              </w:rPr>
              <w:t>Mandatory 5 working days, per FCP Act Section 15.</w:t>
            </w:r>
          </w:p>
        </w:tc>
      </w:tr>
      <w:tr w:rsidR="006F5B83" w14:paraId="1590FFE1"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13768EBE" w14:textId="77777777" w:rsidR="006F5B83" w:rsidRDefault="00000000">
            <w:r>
              <w:rPr>
                <w:b/>
                <w:bCs/>
                <w:color w:val="000000"/>
                <w:sz w:val="20"/>
                <w:szCs w:val="20"/>
              </w:rPr>
              <w:t>Regulator visibility?</w:t>
            </w:r>
          </w:p>
        </w:tc>
        <w:tc>
          <w:tcPr>
            <w:tcW w:w="268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464EC4E6" w14:textId="77777777" w:rsidR="006F5B83" w:rsidRDefault="00000000">
            <w:r>
              <w:rPr>
                <w:color w:val="000000"/>
                <w:sz w:val="20"/>
                <w:szCs w:val="20"/>
              </w:rPr>
              <w:t>None until audit or complaint.</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56E47608" w14:textId="77777777" w:rsidR="006F5B83" w:rsidRDefault="00000000">
            <w:r>
              <w:rPr>
                <w:color w:val="000000"/>
                <w:sz w:val="20"/>
                <w:szCs w:val="20"/>
              </w:rPr>
              <w:t>Live CBL regulator dashboard with real-time system-wide data.</w:t>
            </w:r>
          </w:p>
        </w:tc>
      </w:tr>
      <w:tr w:rsidR="006F5B83" w14:paraId="76A6EB8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76B50E96" w14:textId="77777777" w:rsidR="006F5B83" w:rsidRDefault="00000000">
            <w:r>
              <w:rPr>
                <w:b/>
                <w:bCs/>
                <w:color w:val="000000"/>
                <w:sz w:val="20"/>
                <w:szCs w:val="20"/>
              </w:rPr>
              <w:t>Financial difficulty detection?</w:t>
            </w:r>
          </w:p>
        </w:tc>
        <w:tc>
          <w:tcPr>
            <w:tcW w:w="2680" w:type="dxa"/>
            <w:tcBorders>
              <w:top w:val="single" w:sz="1" w:space="0" w:color="999999"/>
              <w:left w:val="single" w:sz="1" w:space="0" w:color="999999"/>
              <w:bottom w:val="single" w:sz="1" w:space="0" w:color="999999"/>
              <w:right w:val="single" w:sz="1" w:space="0" w:color="999999"/>
            </w:tcBorders>
            <w:tcMar>
              <w:top w:w="100" w:type="dxa"/>
              <w:left w:w="140" w:type="dxa"/>
              <w:bottom w:w="100" w:type="dxa"/>
              <w:right w:w="140" w:type="dxa"/>
            </w:tcMar>
          </w:tcPr>
          <w:p w14:paraId="1AFD8502" w14:textId="77777777" w:rsidR="006F5B83" w:rsidRDefault="00000000">
            <w:r>
              <w:rPr>
                <w:color w:val="000000"/>
                <w:sz w:val="20"/>
                <w:szCs w:val="20"/>
              </w:rPr>
              <w:t>Automated penalty and blacklisting.</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0AE46297" w14:textId="77777777" w:rsidR="006F5B83" w:rsidRDefault="00000000">
            <w:r>
              <w:rPr>
                <w:color w:val="000000"/>
                <w:sz w:val="20"/>
                <w:szCs w:val="20"/>
              </w:rPr>
              <w:t>Early warning alerts. Mandatory credit provider engagement. Restructuring before enforcement.</w:t>
            </w:r>
          </w:p>
        </w:tc>
      </w:tr>
      <w:tr w:rsidR="006F5B83" w14:paraId="0EAB3E34"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7CA7A955" w14:textId="77777777" w:rsidR="006F5B83" w:rsidRDefault="00000000">
            <w:r>
              <w:rPr>
                <w:b/>
                <w:bCs/>
                <w:color w:val="000000"/>
                <w:sz w:val="20"/>
                <w:szCs w:val="20"/>
              </w:rPr>
              <w:t>Collection practices?</w:t>
            </w:r>
          </w:p>
        </w:tc>
        <w:tc>
          <w:tcPr>
            <w:tcW w:w="2680" w:type="dxa"/>
            <w:tcBorders>
              <w:top w:val="single" w:sz="1" w:space="0" w:color="999999"/>
              <w:left w:val="single" w:sz="1" w:space="0" w:color="999999"/>
              <w:bottom w:val="single" w:sz="1" w:space="0" w:color="999999"/>
              <w:right w:val="single" w:sz="1" w:space="0" w:color="999999"/>
            </w:tcBorders>
            <w:shd w:val="clear" w:color="auto" w:fill="F2F2F2"/>
            <w:tcMar>
              <w:top w:w="100" w:type="dxa"/>
              <w:left w:w="140" w:type="dxa"/>
              <w:bottom w:w="100" w:type="dxa"/>
              <w:right w:w="140" w:type="dxa"/>
            </w:tcMar>
          </w:tcPr>
          <w:p w14:paraId="471820BB" w14:textId="77777777" w:rsidR="006F5B83" w:rsidRDefault="00000000">
            <w:r>
              <w:rPr>
                <w:color w:val="000000"/>
                <w:sz w:val="20"/>
                <w:szCs w:val="20"/>
              </w:rPr>
              <w:t>Aggressive. Often contacting contacts, social shaming.</w:t>
            </w:r>
          </w:p>
        </w:tc>
        <w:tc>
          <w:tcPr>
            <w:tcW w:w="2680" w:type="dxa"/>
            <w:tcBorders>
              <w:top w:val="single" w:sz="1" w:space="0" w:color="999999"/>
              <w:left w:val="single" w:sz="1" w:space="0" w:color="999999"/>
              <w:bottom w:val="single" w:sz="1" w:space="0" w:color="999999"/>
              <w:right w:val="single" w:sz="1" w:space="0" w:color="999999"/>
            </w:tcBorders>
            <w:shd w:val="clear" w:color="auto" w:fill="E8F5E9"/>
            <w:tcMar>
              <w:top w:w="100" w:type="dxa"/>
              <w:left w:w="140" w:type="dxa"/>
              <w:bottom w:w="100" w:type="dxa"/>
              <w:right w:w="140" w:type="dxa"/>
            </w:tcMar>
          </w:tcPr>
          <w:p w14:paraId="03AC93B5" w14:textId="77777777" w:rsidR="006F5B83" w:rsidRDefault="00000000">
            <w:r>
              <w:rPr>
                <w:color w:val="000000"/>
                <w:sz w:val="20"/>
                <w:szCs w:val="20"/>
              </w:rPr>
              <w:t xml:space="preserve">FCP Act Section 39 compliance enforced. Harassment prohibited. Pre-enforcement </w:t>
            </w:r>
            <w:proofErr w:type="gramStart"/>
            <w:r>
              <w:rPr>
                <w:color w:val="000000"/>
                <w:sz w:val="20"/>
                <w:szCs w:val="20"/>
              </w:rPr>
              <w:t>notice</w:t>
            </w:r>
            <w:proofErr w:type="gramEnd"/>
            <w:r>
              <w:rPr>
                <w:color w:val="000000"/>
                <w:sz w:val="20"/>
                <w:szCs w:val="20"/>
              </w:rPr>
              <w:t xml:space="preserve"> mandatory.</w:t>
            </w:r>
          </w:p>
        </w:tc>
      </w:tr>
    </w:tbl>
    <w:p w14:paraId="5A7E1440" w14:textId="77777777" w:rsidR="006F5B83" w:rsidRDefault="00000000">
      <w:r>
        <w:br w:type="page"/>
      </w:r>
    </w:p>
    <w:p w14:paraId="31DBC068" w14:textId="77777777" w:rsidR="006F5B83" w:rsidRDefault="00000000">
      <w:pPr>
        <w:pStyle w:val="Heading1"/>
      </w:pPr>
      <w:r>
        <w:lastRenderedPageBreak/>
        <w:t>7. Conclusion</w:t>
      </w:r>
    </w:p>
    <w:p w14:paraId="56711180" w14:textId="77777777" w:rsidR="006F5B83" w:rsidRDefault="00000000">
      <w:pPr>
        <w:spacing w:after="130"/>
        <w:jc w:val="both"/>
      </w:pPr>
      <w:proofErr w:type="spellStart"/>
      <w:r>
        <w:rPr>
          <w:color w:val="000000"/>
        </w:rPr>
        <w:t>Fedha</w:t>
      </w:r>
      <w:proofErr w:type="spellEnd"/>
      <w:r>
        <w:rPr>
          <w:color w:val="000000"/>
        </w:rPr>
        <w:t>-Grow’s responsible lending framework is not an add-on. It is built into the architecture of the platform. The affordability assessment, credit bureau check, cross-provider exposure check, and cooling off period are platform-level gates that cannot be bypassed by credit providers or borrowers. The financial difficulty early warning system, the prohibited practices enforcement, and the CBL regulator view are continuous monitoring tools that operate for the duration of every loan.</w:t>
      </w:r>
    </w:p>
    <w:p w14:paraId="4AB92C6C" w14:textId="77777777" w:rsidR="006F5B83" w:rsidRDefault="00000000">
      <w:pPr>
        <w:spacing w:after="130"/>
        <w:jc w:val="both"/>
      </w:pPr>
      <w:r>
        <w:rPr>
          <w:color w:val="000000"/>
        </w:rPr>
        <w:t xml:space="preserve">The platform is designed on the principle that digital access to credit should make the financial system more visible, not less. If </w:t>
      </w:r>
      <w:proofErr w:type="spellStart"/>
      <w:r>
        <w:rPr>
          <w:color w:val="000000"/>
        </w:rPr>
        <w:t>Fedha</w:t>
      </w:r>
      <w:proofErr w:type="spellEnd"/>
      <w:r>
        <w:rPr>
          <w:color w:val="000000"/>
        </w:rPr>
        <w:t>-Grow achieves its purpose, the CBL will have better visibility into microfinance lending than it has ever had — and borrowers will be protected by safeguards that do not exist in the paper-based system that preceded it.</w:t>
      </w:r>
    </w:p>
    <w:p w14:paraId="3CEA0BAB" w14:textId="77777777" w:rsidR="006F5B83" w:rsidRDefault="00000000">
      <w:pPr>
        <w:spacing w:after="130"/>
        <w:jc w:val="both"/>
      </w:pPr>
      <w:proofErr w:type="spellStart"/>
      <w:r>
        <w:rPr>
          <w:color w:val="000000"/>
        </w:rPr>
        <w:t>Fedha</w:t>
      </w:r>
      <w:proofErr w:type="spellEnd"/>
      <w:r>
        <w:rPr>
          <w:color w:val="000000"/>
        </w:rPr>
        <w:t>-Grow welcomes the Bank’s guidance on calibrating any of these measures — including the debt-to-income threshold, the graduated access parameters, and the financial difficulty trigger points. We view these as the beginning of an ongoing conversation about responsible lending standards for digital platforms in Lesotho.</w:t>
      </w:r>
    </w:p>
    <w:p w14:paraId="79CE7031" w14:textId="77777777" w:rsidR="006F5B83" w:rsidRDefault="00000000">
      <w:pPr>
        <w:spacing w:before="400"/>
        <w:jc w:val="center"/>
      </w:pPr>
      <w:r>
        <w:rPr>
          <w:i/>
          <w:iCs/>
          <w:color w:val="595959"/>
        </w:rPr>
        <w:t>— End of Submission —</w:t>
      </w:r>
    </w:p>
    <w:sectPr w:rsidR="006F5B8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517D6" w14:textId="77777777" w:rsidR="002909A4" w:rsidRDefault="002909A4">
      <w:r>
        <w:separator/>
      </w:r>
    </w:p>
  </w:endnote>
  <w:endnote w:type="continuationSeparator" w:id="0">
    <w:p w14:paraId="06BC430C" w14:textId="77777777" w:rsidR="002909A4" w:rsidRDefault="00290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320B" w14:textId="77777777" w:rsidR="006F5B83"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7608B3">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7608B3">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EA399" w14:textId="77777777" w:rsidR="002909A4" w:rsidRDefault="002909A4">
      <w:r>
        <w:separator/>
      </w:r>
    </w:p>
  </w:footnote>
  <w:footnote w:type="continuationSeparator" w:id="0">
    <w:p w14:paraId="31E8A941" w14:textId="77777777" w:rsidR="002909A4" w:rsidRDefault="002909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987F" w14:textId="77777777" w:rsidR="006F5B83" w:rsidRDefault="00000000">
    <w:pPr>
      <w:jc w:val="right"/>
    </w:pPr>
    <w:proofErr w:type="spellStart"/>
    <w:r>
      <w:rPr>
        <w:color w:val="999999"/>
        <w:sz w:val="16"/>
        <w:szCs w:val="16"/>
      </w:rPr>
      <w:t>Fedha</w:t>
    </w:r>
    <w:proofErr w:type="spellEnd"/>
    <w:r>
      <w:rPr>
        <w:color w:val="999999"/>
        <w:sz w:val="16"/>
        <w:szCs w:val="16"/>
      </w:rPr>
      <w:t>-Grow | Responsible Digital Lending | CBL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717"/>
    <w:multiLevelType w:val="hybridMultilevel"/>
    <w:tmpl w:val="473C41CC"/>
    <w:lvl w:ilvl="0" w:tplc="A1EC7480">
      <w:start w:val="1"/>
      <w:numFmt w:val="bullet"/>
      <w:lvlText w:val="●"/>
      <w:lvlJc w:val="left"/>
      <w:pPr>
        <w:ind w:left="720" w:hanging="360"/>
      </w:pPr>
    </w:lvl>
    <w:lvl w:ilvl="1" w:tplc="D816845E">
      <w:start w:val="1"/>
      <w:numFmt w:val="bullet"/>
      <w:lvlText w:val="○"/>
      <w:lvlJc w:val="left"/>
      <w:pPr>
        <w:ind w:left="1440" w:hanging="360"/>
      </w:pPr>
    </w:lvl>
    <w:lvl w:ilvl="2" w:tplc="A7E216B6">
      <w:start w:val="1"/>
      <w:numFmt w:val="bullet"/>
      <w:lvlText w:val="■"/>
      <w:lvlJc w:val="left"/>
      <w:pPr>
        <w:ind w:left="2160" w:hanging="360"/>
      </w:pPr>
    </w:lvl>
    <w:lvl w:ilvl="3" w:tplc="CC069A04">
      <w:start w:val="1"/>
      <w:numFmt w:val="bullet"/>
      <w:lvlText w:val="●"/>
      <w:lvlJc w:val="left"/>
      <w:pPr>
        <w:ind w:left="2880" w:hanging="360"/>
      </w:pPr>
    </w:lvl>
    <w:lvl w:ilvl="4" w:tplc="0F98AC38">
      <w:start w:val="1"/>
      <w:numFmt w:val="bullet"/>
      <w:lvlText w:val="○"/>
      <w:lvlJc w:val="left"/>
      <w:pPr>
        <w:ind w:left="3600" w:hanging="360"/>
      </w:pPr>
    </w:lvl>
    <w:lvl w:ilvl="5" w:tplc="8D36B584">
      <w:start w:val="1"/>
      <w:numFmt w:val="bullet"/>
      <w:lvlText w:val="■"/>
      <w:lvlJc w:val="left"/>
      <w:pPr>
        <w:ind w:left="4320" w:hanging="360"/>
      </w:pPr>
    </w:lvl>
    <w:lvl w:ilvl="6" w:tplc="0A2EFCEE">
      <w:start w:val="1"/>
      <w:numFmt w:val="bullet"/>
      <w:lvlText w:val="●"/>
      <w:lvlJc w:val="left"/>
      <w:pPr>
        <w:ind w:left="5040" w:hanging="360"/>
      </w:pPr>
    </w:lvl>
    <w:lvl w:ilvl="7" w:tplc="F2C403A8">
      <w:start w:val="1"/>
      <w:numFmt w:val="bullet"/>
      <w:lvlText w:val="●"/>
      <w:lvlJc w:val="left"/>
      <w:pPr>
        <w:ind w:left="5760" w:hanging="360"/>
      </w:pPr>
    </w:lvl>
    <w:lvl w:ilvl="8" w:tplc="C5F24A00">
      <w:start w:val="1"/>
      <w:numFmt w:val="bullet"/>
      <w:lvlText w:val="●"/>
      <w:lvlJc w:val="left"/>
      <w:pPr>
        <w:ind w:left="6480" w:hanging="360"/>
      </w:pPr>
    </w:lvl>
  </w:abstractNum>
  <w:abstractNum w:abstractNumId="1" w15:restartNumberingAfterBreak="0">
    <w:nsid w:val="56333D2E"/>
    <w:multiLevelType w:val="hybridMultilevel"/>
    <w:tmpl w:val="99B07E2C"/>
    <w:lvl w:ilvl="0" w:tplc="E862BF7C">
      <w:start w:val="1"/>
      <w:numFmt w:val="bullet"/>
      <w:lvlText w:val="•"/>
      <w:lvlJc w:val="left"/>
      <w:pPr>
        <w:ind w:left="720" w:hanging="360"/>
      </w:pPr>
    </w:lvl>
    <w:lvl w:ilvl="1" w:tplc="787A6C38">
      <w:numFmt w:val="decimal"/>
      <w:lvlText w:val=""/>
      <w:lvlJc w:val="left"/>
    </w:lvl>
    <w:lvl w:ilvl="2" w:tplc="3B3263C4">
      <w:numFmt w:val="decimal"/>
      <w:lvlText w:val=""/>
      <w:lvlJc w:val="left"/>
    </w:lvl>
    <w:lvl w:ilvl="3" w:tplc="EA5ED8AC">
      <w:numFmt w:val="decimal"/>
      <w:lvlText w:val=""/>
      <w:lvlJc w:val="left"/>
    </w:lvl>
    <w:lvl w:ilvl="4" w:tplc="FC026F36">
      <w:numFmt w:val="decimal"/>
      <w:lvlText w:val=""/>
      <w:lvlJc w:val="left"/>
    </w:lvl>
    <w:lvl w:ilvl="5" w:tplc="F0A8165E">
      <w:numFmt w:val="decimal"/>
      <w:lvlText w:val=""/>
      <w:lvlJc w:val="left"/>
    </w:lvl>
    <w:lvl w:ilvl="6" w:tplc="5F78DA5E">
      <w:numFmt w:val="decimal"/>
      <w:lvlText w:val=""/>
      <w:lvlJc w:val="left"/>
    </w:lvl>
    <w:lvl w:ilvl="7" w:tplc="01987016">
      <w:numFmt w:val="decimal"/>
      <w:lvlText w:val=""/>
      <w:lvlJc w:val="left"/>
    </w:lvl>
    <w:lvl w:ilvl="8" w:tplc="8D66FFF2">
      <w:numFmt w:val="decimal"/>
      <w:lvlText w:val=""/>
      <w:lvlJc w:val="left"/>
    </w:lvl>
  </w:abstractNum>
  <w:num w:numId="1" w16cid:durableId="1876232012">
    <w:abstractNumId w:val="0"/>
    <w:lvlOverride w:ilvl="0">
      <w:startOverride w:val="1"/>
    </w:lvlOverride>
  </w:num>
  <w:num w:numId="2" w16cid:durableId="1573115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B83"/>
    <w:rsid w:val="002909A4"/>
    <w:rsid w:val="00336F7D"/>
    <w:rsid w:val="006069DB"/>
    <w:rsid w:val="006F5B83"/>
    <w:rsid w:val="00760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1AE250"/>
  <w15:docId w15:val="{4391B68B-B4A1-284A-BB25-FF7E45283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2805</Words>
  <Characters>17451</Characters>
  <Application>Microsoft Office Word</Application>
  <DocSecurity>0</DocSecurity>
  <Lines>623</Lines>
  <Paragraphs>250</Paragraphs>
  <ScaleCrop>false</ScaleCrop>
  <HeadingPairs>
    <vt:vector size="2" baseType="variant">
      <vt:variant>
        <vt:lpstr>Title</vt:lpstr>
      </vt:variant>
      <vt:variant>
        <vt:i4>1</vt:i4>
      </vt:variant>
    </vt:vector>
  </HeadingPairs>
  <TitlesOfParts>
    <vt:vector size="1" baseType="lpstr">
      <vt:lpstr>Fedha-Grow Responsible Digital Lending</vt:lpstr>
    </vt:vector>
  </TitlesOfParts>
  <Company/>
  <LinksUpToDate>false</LinksUpToDate>
  <CharactersWithSpaces>20006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Fedha-Grow Responsible Digital Lending</dc:title>
  <dc:creator>Fedha-Grow (Pty) Ltd</dc:creator>
  <cp:lastModifiedBy>Khotso Serabele</cp:lastModifiedBy>
  <cp:revision>2</cp:revision>
  <dcterms:created xsi:type="dcterms:W3CDTF">2026-09-14T18:14:00Z</dcterms:created>
  <dcterms:modified xsi:type="dcterms:W3CDTF">2026-09-15T15:06:00Z</dcterms:modified>
</cp:coreProperties>
</file>