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4E79"/>
          <w:sz w:val="44"/>
          <w:szCs w:val="44"/>
        </w:rPr>
        <w:t xml:space="preserve">FEDHA-GROW (PTY) LTD</w:t>
      </w:r>
    </w:p>
    <w:p>
      <w:pPr>
        <w:spacing w:after="200"/>
        <w:jc w:val="center"/>
      </w:pPr>
      <w:r>
        <w:rPr>
          <w:rFonts w:ascii="Calibri" w:cs="Calibri" w:eastAsia="Calibri" w:hAnsi="Calibri"/>
          <w:b/>
          <w:bCs/>
          <w:color w:val="2E75B6"/>
          <w:sz w:val="28"/>
          <w:szCs w:val="28"/>
        </w:rPr>
        <w:t xml:space="preserve">REVISED BUSINESS AND OPERATING FRAMEWORK</w:t>
      </w:r>
    </w:p>
    <w:p>
      <w:pPr>
        <w:spacing w:after="80"/>
        <w:jc w:val="center"/>
      </w:pPr>
      <w:r>
        <w:rPr>
          <w:rFonts w:ascii="Calibri" w:cs="Calibri" w:eastAsia="Calibri" w:hAnsi="Calibri"/>
          <w:color w:val="595959"/>
          <w:sz w:val="24"/>
          <w:szCs w:val="24"/>
        </w:rPr>
        <w:t xml:space="preserve">Response to Central Bank of Lesotho Follow-Up</w:t>
      </w:r>
    </w:p>
    <w:p>
      <w:pPr>
        <w:spacing w:after="80"/>
        <w:jc w:val="center"/>
      </w:pPr>
      <w:r>
        <w:rPr>
          <w:rFonts w:ascii="Calibri" w:cs="Calibri" w:eastAsia="Calibri" w:hAnsi="Calibri"/>
          <w:b/>
          <w:bCs/>
          <w:color w:val="595959"/>
          <w:sz w:val="22"/>
          <w:szCs w:val="22"/>
        </w:rPr>
        <w:t xml:space="preserve">Following Meeting of 11 August 2026</w:t>
      </w:r>
    </w:p>
    <w:p>
      <w:pPr>
        <w:spacing w:after="200"/>
        <w:jc w:val="center"/>
      </w:pPr>
      <w:r>
        <w:rPr>
          <w:rFonts w:ascii="Calibri" w:cs="Calibri" w:eastAsia="Calibri" w:hAnsi="Calibri"/>
          <w:color w:val="595959"/>
          <w:sz w:val="22"/>
          <w:szCs w:val="22"/>
        </w:rPr>
        <w:t xml:space="preserve">Submitted to: The Central Bank of Lesotho</w:t>
      </w:r>
    </w:p>
    <w:p>
      <w:pPr>
        <w:spacing w:after="400"/>
        <w:jc w:val="center"/>
      </w:pPr>
      <w:r>
        <w:rPr>
          <w:rFonts w:ascii="Calibri" w:cs="Calibri" w:eastAsia="Calibri" w:hAnsi="Calibri"/>
          <w:i/>
          <w:iCs/>
          <w:color w:val="595959"/>
          <w:sz w:val="22"/>
          <w:szCs w:val="22"/>
        </w:rPr>
        <w:t xml:space="preserve">Confidential</w:t>
      </w:r>
    </w:p>
    <w:p>
      <w:pPr>
        <w:spacing w:after="130" w:before="0"/>
        <w:jc w:val="both"/>
      </w:pPr>
      <w:r>
        <w:rPr>
          <w:rFonts w:ascii="Calibri" w:cs="Calibri" w:eastAsia="Calibri" w:hAnsi="Calibri"/>
          <w:b w:val="false"/>
          <w:bCs w:val="false"/>
          <w:i/>
          <w:iCs/>
          <w:color w:val="595959"/>
          <w:sz w:val="22"/>
          <w:szCs w:val="22"/>
        </w:rPr>
        <w:t xml:space="preserve">This revised submission incorporates the Bank’s request for clear and transparent communication, information and payment flows, together with a complete audit trail of material interactions and transactions facilitated through the platform.</w:t>
      </w:r>
    </w:p>
    <w:p>
      <w:r>
        <w:br w:type="page"/>
      </w:r>
    </w:p>
    <w:p>
      <w:pPr>
        <w:pStyle w:val="Heading1"/>
        <w:spacing w:after="180" w:before="360"/>
      </w:pPr>
      <w:r>
        <w:rPr>
          <w:rFonts w:ascii="Calibri" w:cs="Calibri" w:eastAsia="Calibri" w:hAnsi="Calibri"/>
          <w:b/>
          <w:bCs/>
          <w:color w:val="1F4E79"/>
          <w:sz w:val="32"/>
          <w:szCs w:val="32"/>
        </w:rPr>
        <w:t xml:space="preserve">Introduction</w:t>
      </w:r>
    </w:p>
    <w:p>
      <w:pPr>
        <w:spacing w:after="130" w:before="0"/>
        <w:jc w:val="both"/>
      </w:pPr>
      <w:r>
        <w:rPr>
          <w:rFonts w:ascii="Calibri" w:cs="Calibri" w:eastAsia="Calibri" w:hAnsi="Calibri"/>
          <w:b w:val="false"/>
          <w:bCs w:val="false"/>
          <w:i w:val="false"/>
          <w:iCs w:val="false"/>
          <w:color w:val="000000"/>
          <w:sz w:val="22"/>
          <w:szCs w:val="22"/>
        </w:rPr>
        <w:t xml:space="preserve">This document is submitted to the Central Bank of Lesotho following the meeting of 11 August 2026 and subsequent guidance regarding the design of Fedha-Grow’s business model.</w:t>
      </w:r>
    </w:p>
    <w:p>
      <w:pPr>
        <w:spacing w:after="130" w:before="0"/>
        <w:jc w:val="both"/>
      </w:pPr>
      <w:r>
        <w:rPr>
          <w:rFonts w:ascii="Calibri" w:cs="Calibri" w:eastAsia="Calibri" w:hAnsi="Calibri"/>
          <w:b w:val="false"/>
          <w:bCs w:val="false"/>
          <w:i w:val="false"/>
          <w:iCs w:val="false"/>
          <w:color w:val="000000"/>
          <w:sz w:val="22"/>
          <w:szCs w:val="22"/>
        </w:rPr>
        <w:t xml:space="preserve">In response to the Bank’s request for greater clarity and transparency in the communication, information and payment flows between prospective credit providers participating on the platform and customers, Fedha-Grow has refined its operating model to clearly define the roles, responsibilities and interaction points of each participant throughout the lending lifecycle.</w:t>
      </w:r>
    </w:p>
    <w:p>
      <w:pPr>
        <w:spacing w:after="130" w:before="0"/>
        <w:jc w:val="both"/>
      </w:pPr>
      <w:r>
        <w:rPr>
          <w:rFonts w:ascii="Calibri" w:cs="Calibri" w:eastAsia="Calibri" w:hAnsi="Calibri"/>
          <w:b w:val="false"/>
          <w:bCs w:val="false"/>
          <w:i w:val="false"/>
          <w:iCs w:val="false"/>
          <w:color w:val="000000"/>
          <w:sz w:val="22"/>
          <w:szCs w:val="22"/>
        </w:rPr>
        <w:t xml:space="preserve">The revised model is designed around three principles:</w:t>
      </w:r>
    </w:p>
    <w:p>
      <w:pPr>
        <w:pStyle w:val="ListParagraph"/>
        <w:numPr>
          <w:ilvl w:val="0"/>
          <w:numId w:val="2"/>
        </w:numPr>
        <w:spacing w:after="80"/>
      </w:pPr>
      <w:r>
        <w:rPr>
          <w:rFonts w:ascii="Calibri" w:cs="Calibri" w:eastAsia="Calibri" w:hAnsi="Calibri"/>
          <w:sz w:val="22"/>
          <w:szCs w:val="22"/>
        </w:rPr>
        <w:t xml:space="preserve">Clear separation of responsibilities between Fedha-Grow, customers, participating credit providers, and payment infrastructure partners;</w:t>
      </w:r>
    </w:p>
    <w:p>
      <w:pPr>
        <w:pStyle w:val="ListParagraph"/>
        <w:numPr>
          <w:ilvl w:val="0"/>
          <w:numId w:val="2"/>
        </w:numPr>
        <w:spacing w:after="80"/>
      </w:pPr>
      <w:r>
        <w:rPr>
          <w:rFonts w:ascii="Calibri" w:cs="Calibri" w:eastAsia="Calibri" w:hAnsi="Calibri"/>
          <w:sz w:val="22"/>
          <w:szCs w:val="22"/>
        </w:rPr>
        <w:t xml:space="preserve">Transparent information, communication and payment flows throughout the customer and lending lifecycle; and</w:t>
      </w:r>
    </w:p>
    <w:p>
      <w:pPr>
        <w:pStyle w:val="ListParagraph"/>
        <w:numPr>
          <w:ilvl w:val="0"/>
          <w:numId w:val="2"/>
        </w:numPr>
        <w:spacing w:after="80"/>
      </w:pPr>
      <w:r>
        <w:rPr>
          <w:rFonts w:ascii="Calibri" w:cs="Calibri" w:eastAsia="Calibri" w:hAnsi="Calibri"/>
          <w:sz w:val="22"/>
          <w:szCs w:val="22"/>
        </w:rPr>
        <w:t xml:space="preserve">A complete and traceable audit trail of material interactions, communications and transactions facilitated through the platform.</w:t>
      </w:r>
    </w:p>
    <w:p>
      <w:pPr>
        <w:spacing w:after="130" w:before="0"/>
        <w:jc w:val="both"/>
      </w:pPr>
      <w:r>
        <w:rPr>
          <w:rFonts w:ascii="Calibri" w:cs="Calibri" w:eastAsia="Calibri" w:hAnsi="Calibri"/>
          <w:b w:val="false"/>
          <w:bCs w:val="false"/>
          <w:i w:val="false"/>
          <w:iCs w:val="false"/>
          <w:color w:val="000000"/>
          <w:sz w:val="22"/>
          <w:szCs w:val="22"/>
        </w:rPr>
        <w:t xml:space="preserve">Fedha-Grow remains a digital platform facilitator and record-keeper. It does not make lending decisions, provide credit from its own balance sheet, or receive, hold, pool or transmit customer funds.</w:t>
      </w:r>
    </w:p>
    <w:p>
      <w:pPr>
        <w:spacing w:after="130" w:before="0"/>
        <w:jc w:val="both"/>
      </w:pPr>
      <w:r>
        <w:rPr>
          <w:rFonts w:ascii="Calibri" w:cs="Calibri" w:eastAsia="Calibri" w:hAnsi="Calibri"/>
          <w:b w:val="false"/>
          <w:bCs w:val="false"/>
          <w:i w:val="false"/>
          <w:iCs w:val="false"/>
          <w:color w:val="000000"/>
          <w:sz w:val="22"/>
          <w:szCs w:val="22"/>
        </w:rPr>
        <w:t xml:space="preserve">The document sets out:</w:t>
      </w:r>
    </w:p>
    <w:p>
      <w:pPr>
        <w:pStyle w:val="ListParagraph"/>
        <w:numPr>
          <w:ilvl w:val="0"/>
          <w:numId w:val="2"/>
        </w:numPr>
        <w:spacing w:after="80"/>
      </w:pPr>
      <w:r>
        <w:rPr>
          <w:rFonts w:ascii="Calibri" w:cs="Calibri" w:eastAsia="Calibri" w:hAnsi="Calibri"/>
          <w:sz w:val="22"/>
          <w:szCs w:val="22"/>
        </w:rPr>
        <w:t xml:space="preserve">Part 1: Business and Operating Model — the end-to-end relationship between customers, Fedha-Grow, participating credit providers and payment infrastructure partners, including information flows, communication flows, responsibilities and audit-trail controls;</w:t>
      </w:r>
    </w:p>
    <w:p>
      <w:pPr>
        <w:pStyle w:val="ListParagraph"/>
        <w:numPr>
          <w:ilvl w:val="0"/>
          <w:numId w:val="2"/>
        </w:numPr>
        <w:spacing w:after="80"/>
      </w:pPr>
      <w:r>
        <w:rPr>
          <w:rFonts w:ascii="Calibri" w:cs="Calibri" w:eastAsia="Calibri" w:hAnsi="Calibri"/>
          <w:sz w:val="22"/>
          <w:szCs w:val="22"/>
        </w:rPr>
        <w:t xml:space="preserve">Part 2: Payment Model and Payment Flows — detailed disbursement and repayment processes, payment methods, the distinction between automated and manual payment recording, payment visibility, reconciliation and the distinction between platform facilitation and payment execution;</w:t>
      </w:r>
    </w:p>
    <w:p>
      <w:pPr>
        <w:pStyle w:val="ListParagraph"/>
        <w:numPr>
          <w:ilvl w:val="0"/>
          <w:numId w:val="2"/>
        </w:numPr>
        <w:spacing w:after="80"/>
      </w:pPr>
      <w:r>
        <w:rPr>
          <w:rFonts w:ascii="Calibri" w:cs="Calibri" w:eastAsia="Calibri" w:hAnsi="Calibri"/>
          <w:sz w:val="22"/>
          <w:szCs w:val="22"/>
        </w:rPr>
        <w:t xml:space="preserve">Part 3: Credit Provider Onboarding Framework — eligibility, due diligence, onboarding, monitoring and suspension/termination controls; and</w:t>
      </w:r>
    </w:p>
    <w:p>
      <w:pPr>
        <w:pStyle w:val="ListParagraph"/>
        <w:numPr>
          <w:ilvl w:val="0"/>
          <w:numId w:val="2"/>
        </w:numPr>
        <w:spacing w:after="80"/>
      </w:pPr>
      <w:r>
        <w:rPr>
          <w:rFonts w:ascii="Calibri" w:cs="Calibri" w:eastAsia="Calibri" w:hAnsi="Calibri"/>
          <w:sz w:val="22"/>
          <w:szCs w:val="22"/>
        </w:rPr>
        <w:t xml:space="preserve">Part 4: Complaints Management — complaint channels, investigation, resolution, escalation and regulatory reporting.</w:t>
      </w:r>
    </w:p>
    <w:p>
      <w:r>
        <w:br w:type="page"/>
      </w:r>
    </w:p>
    <w:p>
      <w:pPr>
        <w:spacing w:after="300" w:before="200"/>
        <w:jc w:val="center"/>
      </w:pPr>
      <w:r>
        <w:rPr>
          <w:rFonts w:ascii="Calibri" w:cs="Calibri" w:eastAsia="Calibri" w:hAnsi="Calibri"/>
          <w:b/>
          <w:bCs/>
          <w:color w:val="1F4E79"/>
          <w:sz w:val="36"/>
          <w:szCs w:val="36"/>
        </w:rPr>
        <w:t xml:space="preserve">PART 1</w:t>
      </w:r>
    </w:p>
    <w:p>
      <w:pPr>
        <w:spacing w:after="400"/>
        <w:jc w:val="center"/>
      </w:pPr>
      <w:r>
        <w:rPr>
          <w:rFonts w:ascii="Calibri" w:cs="Calibri" w:eastAsia="Calibri" w:hAnsi="Calibri"/>
          <w:color w:val="2E75B6"/>
          <w:sz w:val="28"/>
          <w:szCs w:val="28"/>
        </w:rPr>
        <w:t xml:space="preserve">Business and Operating Model</w:t>
      </w:r>
    </w:p>
    <w:p>
      <w:pPr>
        <w:pStyle w:val="Heading2"/>
        <w:spacing w:after="120" w:before="240"/>
      </w:pPr>
      <w:r>
        <w:rPr>
          <w:rFonts w:ascii="Calibri" w:cs="Calibri" w:eastAsia="Calibri" w:hAnsi="Calibri"/>
          <w:b/>
          <w:bCs/>
          <w:color w:val="2E75B6"/>
          <w:sz w:val="26"/>
          <w:szCs w:val="26"/>
        </w:rPr>
        <w:t xml:space="preserve">1.1 Business Model and Platform Role</w:t>
      </w:r>
    </w:p>
    <w:p>
      <w:pPr>
        <w:spacing w:after="130" w:before="0"/>
        <w:jc w:val="both"/>
      </w:pPr>
      <w:r>
        <w:rPr>
          <w:rFonts w:ascii="Calibri" w:cs="Calibri" w:eastAsia="Calibri" w:hAnsi="Calibri"/>
          <w:b w:val="false"/>
          <w:bCs w:val="false"/>
          <w:i w:val="false"/>
          <w:iCs w:val="false"/>
          <w:color w:val="000000"/>
          <w:sz w:val="22"/>
          <w:szCs w:val="22"/>
        </w:rPr>
        <w:t xml:space="preserve">Fedha-Grow operates as a digital platform that facilitates interactions between customers seeking credit and authorised credit providers participating on the platform.</w:t>
      </w:r>
    </w:p>
    <w:p>
      <w:pPr>
        <w:spacing w:after="130" w:before="0"/>
        <w:jc w:val="both"/>
      </w:pPr>
      <w:r>
        <w:rPr>
          <w:rFonts w:ascii="Calibri" w:cs="Calibri" w:eastAsia="Calibri" w:hAnsi="Calibri"/>
          <w:b w:val="false"/>
          <w:bCs w:val="false"/>
          <w:i w:val="false"/>
          <w:iCs w:val="false"/>
          <w:color w:val="000000"/>
          <w:sz w:val="22"/>
          <w:szCs w:val="22"/>
        </w:rPr>
        <w:t xml:space="preserve">The platform’s role is to facilitate the submission, exchange, recording and monitoring of information between customers and participating credit providers throughout the lending lifecycle. Fedha-Grow does not make lending decisions, provide credit from its own balance sheet, or hold customer funds.</w:t>
      </w:r>
    </w:p>
    <w:p>
      <w:pPr>
        <w:spacing w:after="130" w:before="0"/>
        <w:jc w:val="both"/>
      </w:pPr>
      <w:r>
        <w:rPr>
          <w:rFonts w:ascii="Calibri" w:cs="Calibri" w:eastAsia="Calibri" w:hAnsi="Calibri"/>
          <w:b w:val="false"/>
          <w:bCs w:val="false"/>
          <w:i w:val="false"/>
          <w:iCs w:val="false"/>
          <w:color w:val="000000"/>
          <w:sz w:val="22"/>
          <w:szCs w:val="22"/>
        </w:rPr>
        <w:t xml:space="preserve">The credit provider remains responsible for assessing the customer’s application, determining whether to approve or decline the application, entering into the loan agreement with the customer, disbursing the approved loan, collecting repayments, and complying with applicable regulatory requirements.</w:t>
      </w:r>
    </w:p>
    <w:p>
      <w:pPr>
        <w:spacing w:after="130" w:before="0"/>
        <w:jc w:val="both"/>
      </w:pPr>
      <w:r>
        <w:rPr>
          <w:rFonts w:ascii="Calibri" w:cs="Calibri" w:eastAsia="Calibri" w:hAnsi="Calibri"/>
          <w:b w:val="false"/>
          <w:bCs w:val="false"/>
          <w:i w:val="false"/>
          <w:iCs w:val="false"/>
          <w:color w:val="000000"/>
          <w:sz w:val="22"/>
          <w:szCs w:val="22"/>
        </w:rPr>
        <w:t xml:space="preserve">Fedha-Grow provides the digital environment through which relevant application information, loan documentation, communications, payment information and transaction records are exchanged and maintained.</w:t>
      </w:r>
    </w:p>
    <w:p>
      <w:pPr>
        <w:pStyle w:val="Heading2"/>
        <w:spacing w:after="120" w:before="240"/>
      </w:pPr>
      <w:r>
        <w:rPr>
          <w:rFonts w:ascii="Calibri" w:cs="Calibri" w:eastAsia="Calibri" w:hAnsi="Calibri"/>
          <w:b/>
          <w:bCs/>
          <w:color w:val="2E75B6"/>
          <w:sz w:val="26"/>
          <w:szCs w:val="26"/>
        </w:rPr>
        <w:t xml:space="preserve">1.2 Participants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Participant</w:t>
            </w:r>
          </w:p>
        </w:tc>
        <w:tc>
          <w:tcPr>
            <w:tcW w:type="dxa" w:w="71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Principal responsibilities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Customer / Borrower</w:t>
            </w:r>
          </w:p>
        </w:tc>
        <w:tc>
          <w:tcPr>
            <w:tcW w:type="dxa" w:w="71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Registers and completes required profile and application information; provides supporting information and documentation; reviews and accepts applicable loan terms; receives relevant communications; makes repayments directly to the credit provider; provides payment confirmation/reference information where applicable (required for cash and EFT payments; not required for EcoCash mobile money payments, which are recorded automatically via the Econet API integration); accesses relevant loan, payment and communication records.</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Credit Provider / Lender</w:t>
            </w:r>
          </w:p>
        </w:tc>
        <w:tc>
          <w:tcPr>
            <w:tcW w:type="dxa" w:w="71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Completes Fedha-Grow onboarding and due diligence; reviews applications; conducts its own credit, affordability and compliance assessment; makes the final lending decision; communicates decisions and terms; enters into the loan agreement; disburses approved funds directly to the customer; confirms repayments (manual confirmation required for EFT and cash payments; EcoCash payments confirmed automatically via the Econet API integration); manages collections and other lender responsibilities.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Fedha-Grow</w:t>
            </w:r>
          </w:p>
        </w:tc>
        <w:tc>
          <w:tcPr>
            <w:tcW w:type="dxa" w:w="71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Provides and maintains the digital platform; facilitates controlled information exchange; records relevant application, decision, agreement, communication and payment events (automatically for EcoCash transactions via the Econet API, manually for EFT and cash transactions); provides status visibility; generates and maintains an auditable record; provides reporting and monitoring functionality; does not make lending decisions and does not receive, hold, pool or transmit customer funds.</w:t>
            </w:r>
          </w:p>
        </w:tc>
      </w:tr>
      <w:tr>
        <w:tc>
          <w:tcPr>
            <w:tcW w:type="dxa" w:w="220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Infrastructure Partner (Econet Lesotho / EcoCash)</w:t>
            </w:r>
          </w:p>
        </w:tc>
        <w:tc>
          <w:tcPr>
            <w:tcW w:type="dxa" w:w="7160"/>
            <w:tcBorders>
              <w:top w:val="single" w:color="999999" w:sz="1"/>
              <w:left w:val="single" w:color="999999" w:sz="1"/>
              <w:bottom w:val="single" w:color="999999" w:sz="1"/>
              <w:right w:val="single" w:color="999999" w:sz="1"/>
            </w:tcBorders>
            <w:shd w:fill="E3F2FD"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Provides mobile money payment rails for loan disbursements and repayments between credit providers and customers; transmits real-time transaction data (including transaction reference, amount, sender, receiver, timestamp and status) to the Fedha-Grow platform via API integration, enabling automated payment recording and reconciliation for mobile money transactions without requiring manual reference entry by either party; operates independently of Fedha-Grow and is not a party to any lending arrangement.</w:t>
            </w:r>
          </w:p>
        </w:tc>
      </w:tr>
    </w:tbl>
    <w:p>
      <w:pPr>
        <w:pStyle w:val="Heading2"/>
        <w:spacing w:after="120" w:before="240"/>
      </w:pPr>
      <w:r>
        <w:rPr>
          <w:rFonts w:ascii="Calibri" w:cs="Calibri" w:eastAsia="Calibri" w:hAnsi="Calibri"/>
          <w:b/>
          <w:bCs/>
          <w:color w:val="2E75B6"/>
          <w:sz w:val="26"/>
          <w:szCs w:val="26"/>
        </w:rPr>
        <w:t xml:space="preserve">1.3 End-to-End Customer-to-Lender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2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62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Customer registration and verification</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 creates an account and completes required identification and profile information.</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2</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application</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 submits a loan application, including required supporting information and documentation.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Application submission to prospective credit providers</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application is made available to eligible participating credit providers in accordance with the customer’s consent and the platform’s applicable information-sharing rules.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Credit provider review</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prospective credit provider reviews the application and conducts its own credit, affordability and compliance assessment.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Credit decision</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credit provider records its decision and any applicable conditions through the platform.</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6</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Customer communication</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customer is notified of the outcome and, where approved, receives the applicable loan terms for review.</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7</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acceptance and agreement</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Where the customer accepts the proposed terms, the parties digitally accept the loan agreement before disbursement.</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8</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disbursement</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credit provider disburses approved funds directly to the customer’s nominated payment account or through another agreed payment method. For EcoCash payments, the transaction is confirmed automatically via the Econet API. For EFT and cash payments, the credit provider enters the payment reference manually.</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9</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 and servicing</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customer makes repayments directly to the credit provider using the agreed payment channel. For EcoCash payments, the transaction is recorded on the platform automatically via the Econet API without manual reference entry. For EFT and cash payments, the relevant payment reference is entered manually.</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10</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closure</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Once all obligations have been settled, the loan is marked as settled and relevant records are retained for reporting, audit and regulatory purposes.</w:t>
            </w:r>
          </w:p>
        </w:tc>
      </w:tr>
    </w:tbl>
    <w:p>
      <w:pPr>
        <w:pStyle w:val="Heading2"/>
        <w:spacing w:after="120" w:before="240"/>
      </w:pPr>
      <w:r>
        <w:rPr>
          <w:rFonts w:ascii="Calibri" w:cs="Calibri" w:eastAsia="Calibri" w:hAnsi="Calibri"/>
          <w:b/>
          <w:bCs/>
          <w:color w:val="2E75B6"/>
          <w:sz w:val="26"/>
          <w:szCs w:val="26"/>
        </w:rPr>
        <w:t xml:space="preserve">1.4 Information Flow</w:t>
      </w:r>
    </w:p>
    <w:p>
      <w:pPr>
        <w:spacing w:after="130" w:before="0"/>
        <w:jc w:val="both"/>
      </w:pPr>
      <w:r>
        <w:rPr>
          <w:rFonts w:ascii="Calibri" w:cs="Calibri" w:eastAsia="Calibri" w:hAnsi="Calibri"/>
          <w:b w:val="false"/>
          <w:bCs w:val="false"/>
          <w:i w:val="false"/>
          <w:iCs w:val="false"/>
          <w:color w:val="000000"/>
          <w:sz w:val="22"/>
          <w:szCs w:val="22"/>
        </w:rPr>
        <w:t xml:space="preserve">Fedha-Grow facilitates a controlled flow of information between customers, participating credit providers, and payment infrastructure partners. Information exchanged may include:</w:t>
      </w:r>
    </w:p>
    <w:p>
      <w:pPr>
        <w:pStyle w:val="ListParagraph"/>
        <w:numPr>
          <w:ilvl w:val="0"/>
          <w:numId w:val="2"/>
        </w:numPr>
        <w:spacing w:after="80"/>
      </w:pPr>
      <w:r>
        <w:rPr>
          <w:rFonts w:ascii="Calibri" w:cs="Calibri" w:eastAsia="Calibri" w:hAnsi="Calibri"/>
          <w:sz w:val="22"/>
          <w:szCs w:val="22"/>
        </w:rPr>
        <w:t xml:space="preserve">Customer identification and profile information;</w:t>
      </w:r>
    </w:p>
    <w:p>
      <w:pPr>
        <w:pStyle w:val="ListParagraph"/>
        <w:numPr>
          <w:ilvl w:val="0"/>
          <w:numId w:val="2"/>
        </w:numPr>
        <w:spacing w:after="80"/>
      </w:pPr>
      <w:r>
        <w:rPr>
          <w:rFonts w:ascii="Calibri" w:cs="Calibri" w:eastAsia="Calibri" w:hAnsi="Calibri"/>
          <w:sz w:val="22"/>
          <w:szCs w:val="22"/>
        </w:rPr>
        <w:t xml:space="preserve">Loan application information;</w:t>
      </w:r>
    </w:p>
    <w:p>
      <w:pPr>
        <w:pStyle w:val="ListParagraph"/>
        <w:numPr>
          <w:ilvl w:val="0"/>
          <w:numId w:val="2"/>
        </w:numPr>
        <w:spacing w:after="80"/>
      </w:pPr>
      <w:r>
        <w:rPr>
          <w:rFonts w:ascii="Calibri" w:cs="Calibri" w:eastAsia="Calibri" w:hAnsi="Calibri"/>
          <w:sz w:val="22"/>
          <w:szCs w:val="22"/>
        </w:rPr>
        <w:t xml:space="preserve">Supporting documentation;</w:t>
      </w:r>
    </w:p>
    <w:p>
      <w:pPr>
        <w:pStyle w:val="ListParagraph"/>
        <w:numPr>
          <w:ilvl w:val="0"/>
          <w:numId w:val="2"/>
        </w:numPr>
        <w:spacing w:after="80"/>
      </w:pPr>
      <w:r>
        <w:rPr>
          <w:rFonts w:ascii="Calibri" w:cs="Calibri" w:eastAsia="Calibri" w:hAnsi="Calibri"/>
          <w:sz w:val="22"/>
          <w:szCs w:val="22"/>
        </w:rPr>
        <w:t xml:space="preserve">Affordability and credit assessment information where applicable;</w:t>
      </w:r>
    </w:p>
    <w:p>
      <w:pPr>
        <w:pStyle w:val="ListParagraph"/>
        <w:numPr>
          <w:ilvl w:val="0"/>
          <w:numId w:val="2"/>
        </w:numPr>
        <w:spacing w:after="80"/>
      </w:pPr>
      <w:r>
        <w:rPr>
          <w:rFonts w:ascii="Calibri" w:cs="Calibri" w:eastAsia="Calibri" w:hAnsi="Calibri"/>
          <w:sz w:val="22"/>
          <w:szCs w:val="22"/>
        </w:rPr>
        <w:t xml:space="preserve">Loan amount and requested term;</w:t>
      </w:r>
    </w:p>
    <w:p>
      <w:pPr>
        <w:pStyle w:val="ListParagraph"/>
        <w:numPr>
          <w:ilvl w:val="0"/>
          <w:numId w:val="2"/>
        </w:numPr>
        <w:spacing w:after="80"/>
      </w:pPr>
      <w:r>
        <w:rPr>
          <w:rFonts w:ascii="Calibri" w:cs="Calibri" w:eastAsia="Calibri" w:hAnsi="Calibri"/>
          <w:sz w:val="22"/>
          <w:szCs w:val="22"/>
        </w:rPr>
        <w:t xml:space="preserve">Credit provider decision and decision date;</w:t>
      </w:r>
    </w:p>
    <w:p>
      <w:pPr>
        <w:pStyle w:val="ListParagraph"/>
        <w:numPr>
          <w:ilvl w:val="0"/>
          <w:numId w:val="2"/>
        </w:numPr>
        <w:spacing w:after="80"/>
      </w:pPr>
      <w:r>
        <w:rPr>
          <w:rFonts w:ascii="Calibri" w:cs="Calibri" w:eastAsia="Calibri" w:hAnsi="Calibri"/>
          <w:sz w:val="22"/>
          <w:szCs w:val="22"/>
        </w:rPr>
        <w:t xml:space="preserve">Loan terms, fees and repayment schedule;</w:t>
      </w:r>
    </w:p>
    <w:p>
      <w:pPr>
        <w:pStyle w:val="ListParagraph"/>
        <w:numPr>
          <w:ilvl w:val="0"/>
          <w:numId w:val="2"/>
        </w:numPr>
        <w:spacing w:after="80"/>
      </w:pPr>
      <w:r>
        <w:rPr>
          <w:rFonts w:ascii="Calibri" w:cs="Calibri" w:eastAsia="Calibri" w:hAnsi="Calibri"/>
          <w:sz w:val="22"/>
          <w:szCs w:val="22"/>
        </w:rPr>
        <w:t xml:space="preserve">Loan agreement and acceptance records;</w:t>
      </w:r>
    </w:p>
    <w:p>
      <w:pPr>
        <w:pStyle w:val="ListParagraph"/>
        <w:numPr>
          <w:ilvl w:val="0"/>
          <w:numId w:val="2"/>
        </w:numPr>
        <w:spacing w:after="80"/>
      </w:pPr>
      <w:r>
        <w:rPr>
          <w:rFonts w:ascii="Calibri" w:cs="Calibri" w:eastAsia="Calibri" w:hAnsi="Calibri"/>
          <w:sz w:val="22"/>
          <w:szCs w:val="22"/>
        </w:rPr>
        <w:t xml:space="preserve">Payment instructions and payment references;</w:t>
      </w:r>
    </w:p>
    <w:p>
      <w:pPr>
        <w:pStyle w:val="ListParagraph"/>
        <w:numPr>
          <w:ilvl w:val="0"/>
          <w:numId w:val="2"/>
        </w:numPr>
        <w:spacing w:after="80"/>
      </w:pPr>
      <w:r>
        <w:rPr>
          <w:rFonts w:ascii="Calibri" w:cs="Calibri" w:eastAsia="Calibri" w:hAnsi="Calibri"/>
          <w:sz w:val="22"/>
          <w:szCs w:val="22"/>
        </w:rPr>
        <w:t xml:space="preserve">Econet API transaction confirmations (for EcoCash disbursements and repayments): transaction reference, amount, sender, receiver, timestamp, status and channel — recorded automatically;</w:t>
      </w:r>
    </w:p>
    <w:p>
      <w:pPr>
        <w:pStyle w:val="ListParagraph"/>
        <w:numPr>
          <w:ilvl w:val="0"/>
          <w:numId w:val="2"/>
        </w:numPr>
        <w:spacing w:after="80"/>
      </w:pPr>
      <w:r>
        <w:rPr>
          <w:rFonts w:ascii="Calibri" w:cs="Calibri" w:eastAsia="Calibri" w:hAnsi="Calibri"/>
          <w:sz w:val="22"/>
          <w:szCs w:val="22"/>
        </w:rPr>
        <w:t xml:space="preserve">Repayment records and outstanding balances;</w:t>
      </w:r>
    </w:p>
    <w:p>
      <w:pPr>
        <w:pStyle w:val="ListParagraph"/>
        <w:numPr>
          <w:ilvl w:val="0"/>
          <w:numId w:val="2"/>
        </w:numPr>
        <w:spacing w:after="80"/>
      </w:pPr>
      <w:r>
        <w:rPr>
          <w:rFonts w:ascii="Calibri" w:cs="Calibri" w:eastAsia="Calibri" w:hAnsi="Calibri"/>
          <w:sz w:val="22"/>
          <w:szCs w:val="22"/>
        </w:rPr>
        <w:t xml:space="preserve">Notifications, requests and responses exchanged through the platform; and</w:t>
      </w:r>
    </w:p>
    <w:p>
      <w:pPr>
        <w:pStyle w:val="ListParagraph"/>
        <w:numPr>
          <w:ilvl w:val="0"/>
          <w:numId w:val="2"/>
        </w:numPr>
        <w:spacing w:after="80"/>
      </w:pPr>
      <w:r>
        <w:rPr>
          <w:rFonts w:ascii="Calibri" w:cs="Calibri" w:eastAsia="Calibri" w:hAnsi="Calibri"/>
          <w:sz w:val="22"/>
          <w:szCs w:val="22"/>
        </w:rPr>
        <w:t xml:space="preserve">Complaints and resolution records.</w:t>
      </w:r>
    </w:p>
    <w:p>
      <w:pPr>
        <w:spacing w:after="130" w:before="0"/>
        <w:jc w:val="both"/>
      </w:pPr>
      <w:r>
        <w:rPr>
          <w:rFonts w:ascii="Calibri" w:cs="Calibri" w:eastAsia="Calibri" w:hAnsi="Calibri"/>
          <w:b w:val="false"/>
          <w:bCs w:val="false"/>
          <w:i w:val="false"/>
          <w:iCs w:val="false"/>
          <w:color w:val="000000"/>
          <w:sz w:val="22"/>
          <w:szCs w:val="22"/>
        </w:rPr>
        <w:t xml:space="preserve">Access to information is controlled according to the participant’s role and the purpose for which the information is required.</w:t>
      </w:r>
    </w:p>
    <w:p>
      <w:pPr>
        <w:pStyle w:val="Heading2"/>
        <w:spacing w:after="120" w:before="240"/>
      </w:pPr>
      <w:r>
        <w:rPr>
          <w:rFonts w:ascii="Calibri" w:cs="Calibri" w:eastAsia="Calibri" w:hAnsi="Calibri"/>
          <w:b/>
          <w:bCs/>
          <w:color w:val="2E75B6"/>
          <w:sz w:val="26"/>
          <w:szCs w:val="26"/>
        </w:rPr>
        <w:t xml:space="preserve">1.5 Communication Flow</w:t>
      </w:r>
    </w:p>
    <w:p>
      <w:pPr>
        <w:spacing w:after="130" w:before="0"/>
        <w:jc w:val="both"/>
      </w:pPr>
      <w:r>
        <w:rPr>
          <w:rFonts w:ascii="Calibri" w:cs="Calibri" w:eastAsia="Calibri" w:hAnsi="Calibri"/>
          <w:b w:val="false"/>
          <w:bCs w:val="false"/>
          <w:i w:val="false"/>
          <w:iCs w:val="false"/>
          <w:color w:val="000000"/>
          <w:sz w:val="22"/>
          <w:szCs w:val="22"/>
        </w:rPr>
        <w:t xml:space="preserve">All material communications facilitated through the platform are recorded against the relevant customer, application or loan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Communication</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Initiator</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Recipient</w:t>
            </w:r>
          </w:p>
        </w:tc>
        <w:tc>
          <w:tcPr>
            <w:tcW w:type="dxa" w:w="1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Channel</w:t>
            </w:r>
          </w:p>
        </w:tc>
        <w:tc>
          <w:tcPr>
            <w:tcW w:type="dxa" w:w="25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Record maintained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Application record and timestamp</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Request for information</w:t>
            </w:r>
          </w:p>
        </w:tc>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 / SMS / WhatsApp</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Request, response and timestamp</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Application outcome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 / SMS / WhatsApp</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Outcome and notification event</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terms / agreement</w:t>
            </w:r>
          </w:p>
        </w:tc>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Terms and acceptance record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 reminder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Fedha-Grow / Credit provider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SMS / WhatsApp / platform</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Notification event and timestamp</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confirmation (manual)</w:t>
            </w:r>
          </w:p>
        </w:tc>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 / Credit provider</w:t>
            </w:r>
          </w:p>
        </w:tc>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Other party</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Reference and confirmation event</w:t>
            </w:r>
          </w:p>
        </w:tc>
      </w:tr>
      <w:tr>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EcoCash transaction confirmation (automated)</w:t>
            </w:r>
          </w:p>
        </w:tc>
        <w:tc>
          <w:tcPr>
            <w:tcW w:type="dxa" w:w="14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Econet API</w:t>
            </w:r>
          </w:p>
        </w:tc>
        <w:tc>
          <w:tcPr>
            <w:tcW w:type="dxa" w:w="14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Fedha-Grow platform</w:t>
            </w:r>
          </w:p>
        </w:tc>
        <w:tc>
          <w:tcPr>
            <w:tcW w:type="dxa" w:w="18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API webhook</w:t>
            </w:r>
          </w:p>
        </w:tc>
        <w:tc>
          <w:tcPr>
            <w:tcW w:type="dxa" w:w="25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Transaction reference, amount, sender, receiver, timestamp and status. Linked to FGPR and loan record.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Complaint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Fedha-Grow</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 / WhatsApp / SMS / phone</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Complaint record and CRN</w:t>
            </w:r>
          </w:p>
        </w:tc>
      </w:tr>
    </w:tbl>
    <w:p>
      <w:pPr>
        <w:spacing w:after="130" w:before="0"/>
        <w:jc w:val="both"/>
      </w:pPr>
      <w:r>
        <w:rPr>
          <w:rFonts w:ascii="Calibri" w:cs="Calibri" w:eastAsia="Calibri" w:hAnsi="Calibri"/>
          <w:b w:val="false"/>
          <w:bCs w:val="false"/>
          <w:i w:val="false"/>
          <w:iCs w:val="false"/>
          <w:color w:val="000000"/>
          <w:sz w:val="22"/>
          <w:szCs w:val="22"/>
        </w:rPr>
        <w:t xml:space="preserve">Where communication takes place through an external channel such as SMS or WhatsApp, the platform records the relevant communication event. Where payment data is received via the Econet API, the platform records the full transaction confirmation without requiring manual input from either party.</w:t>
      </w:r>
    </w:p>
    <w:p>
      <w:r>
        <w:br w:type="page"/>
      </w:r>
    </w:p>
    <w:p>
      <w:pPr>
        <w:pStyle w:val="Heading2"/>
        <w:spacing w:after="120" w:before="240"/>
      </w:pPr>
      <w:r>
        <w:rPr>
          <w:rFonts w:ascii="Calibri" w:cs="Calibri" w:eastAsia="Calibri" w:hAnsi="Calibri"/>
          <w:b/>
          <w:bCs/>
          <w:color w:val="2E75B6"/>
          <w:sz w:val="26"/>
          <w:szCs w:val="26"/>
        </w:rPr>
        <w:t xml:space="preserve">1.6 Payment Flow</w:t>
      </w:r>
    </w:p>
    <w:p>
      <w:pPr>
        <w:spacing w:after="130" w:before="0"/>
        <w:jc w:val="both"/>
      </w:pPr>
      <w:r>
        <w:rPr>
          <w:rFonts w:ascii="Calibri" w:cs="Calibri" w:eastAsia="Calibri" w:hAnsi="Calibri"/>
          <w:b w:val="false"/>
          <w:bCs w:val="false"/>
          <w:i w:val="false"/>
          <w:iCs w:val="false"/>
          <w:color w:val="000000"/>
          <w:sz w:val="22"/>
          <w:szCs w:val="22"/>
        </w:rPr>
        <w:t xml:space="preserve">Fedha-Grow does not receive, hold, pool or transmit customer funds. The payment flow remains directly between the customer and the credit provider. The platform’s recording method depends on the payment channel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360"/>
      </w:tblGrid>
      <w:tr>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Flow</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Originator</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Channel</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Recipient</w:t>
            </w:r>
          </w:p>
        </w:tc>
        <w:tc>
          <w:tcPr>
            <w:tcW w:type="dxa" w:w="33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Fedha-Grow role</w:t>
            </w:r>
          </w:p>
        </w:tc>
      </w:tr>
      <w:tr>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Disbursement (EcoCash)</w:t>
            </w:r>
          </w:p>
        </w:tc>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EcoCash mobile money</w:t>
            </w:r>
          </w:p>
        </w:tc>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33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Receives real-time transaction confirmation via Econet API; automatically records payment reference, amount, sender, receiver, timestamp, status and channel. No manual entry required.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Disbursement (EFT / Cash)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Bank transfer / documented cash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Records payment information entered manually by the credit provider; provides visibility and audit trail.</w:t>
            </w:r>
          </w:p>
        </w:tc>
      </w:tr>
      <w:tr>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 (EcoCash)</w:t>
            </w:r>
          </w:p>
        </w:tc>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EcoCash mobile money</w:t>
            </w:r>
          </w:p>
        </w:tc>
        <w:tc>
          <w:tcPr>
            <w:tcW w:type="dxa" w:w="1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33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Receives real-time transaction confirmation via Econet API; automatically updates loan balance, records payment reference and status. No manual entry required.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 (EFT / Cash)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Customer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Bank transfer / documented cash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Records payment reference entered manually by the credit provider or borrower; provides visibility, reconciliation and audit trail.</w:t>
            </w:r>
          </w:p>
        </w:tc>
      </w:tr>
    </w:tbl>
    <w:p>
      <w:pPr>
        <w:pStyle w:val="Heading2"/>
        <w:spacing w:after="120" w:before="240"/>
      </w:pPr>
      <w:r>
        <w:rPr>
          <w:rFonts w:ascii="Calibri" w:cs="Calibri" w:eastAsia="Calibri" w:hAnsi="Calibri"/>
          <w:b/>
          <w:bCs/>
          <w:color w:val="2E75B6"/>
          <w:sz w:val="26"/>
          <w:szCs w:val="26"/>
        </w:rPr>
        <w:t xml:space="preserve">1.7 Audit Trail and Record-Keeping</w:t>
      </w:r>
    </w:p>
    <w:p>
      <w:pPr>
        <w:spacing w:after="130" w:before="0"/>
        <w:jc w:val="both"/>
      </w:pPr>
      <w:r>
        <w:rPr>
          <w:rFonts w:ascii="Calibri" w:cs="Calibri" w:eastAsia="Calibri" w:hAnsi="Calibri"/>
          <w:b w:val="false"/>
          <w:bCs w:val="false"/>
          <w:i w:val="false"/>
          <w:iCs w:val="false"/>
          <w:color w:val="000000"/>
          <w:sz w:val="22"/>
          <w:szCs w:val="22"/>
        </w:rPr>
        <w:t xml:space="preserve">Fedha-Grow maintains a chronological audit trail of material activities facilitated through the platform. The audit trail is designed to allow the relevant application or loan record to be reconstructed from initiation through settlement. Depending on the transaction, the audit trail may include:</w:t>
      </w:r>
    </w:p>
    <w:p>
      <w:pPr>
        <w:pStyle w:val="ListParagraph"/>
        <w:numPr>
          <w:ilvl w:val="0"/>
          <w:numId w:val="2"/>
        </w:numPr>
        <w:spacing w:after="80"/>
      </w:pPr>
      <w:r>
        <w:rPr>
          <w:rFonts w:ascii="Calibri" w:cs="Calibri" w:eastAsia="Calibri" w:hAnsi="Calibri"/>
          <w:sz w:val="22"/>
          <w:szCs w:val="22"/>
        </w:rPr>
        <w:t xml:space="preserve">User registration and verification events;</w:t>
      </w:r>
    </w:p>
    <w:p>
      <w:pPr>
        <w:pStyle w:val="ListParagraph"/>
        <w:numPr>
          <w:ilvl w:val="0"/>
          <w:numId w:val="2"/>
        </w:numPr>
        <w:spacing w:after="80"/>
      </w:pPr>
      <w:r>
        <w:rPr>
          <w:rFonts w:ascii="Calibri" w:cs="Calibri" w:eastAsia="Calibri" w:hAnsi="Calibri"/>
          <w:sz w:val="22"/>
          <w:szCs w:val="22"/>
        </w:rPr>
        <w:t xml:space="preserve">Application submission and amendments;</w:t>
      </w:r>
    </w:p>
    <w:p>
      <w:pPr>
        <w:pStyle w:val="ListParagraph"/>
        <w:numPr>
          <w:ilvl w:val="0"/>
          <w:numId w:val="2"/>
        </w:numPr>
        <w:spacing w:after="80"/>
      </w:pPr>
      <w:r>
        <w:rPr>
          <w:rFonts w:ascii="Calibri" w:cs="Calibri" w:eastAsia="Calibri" w:hAnsi="Calibri"/>
          <w:sz w:val="22"/>
          <w:szCs w:val="22"/>
        </w:rPr>
        <w:t xml:space="preserve">Documents submitted and accessed;</w:t>
      </w:r>
    </w:p>
    <w:p>
      <w:pPr>
        <w:pStyle w:val="ListParagraph"/>
        <w:numPr>
          <w:ilvl w:val="0"/>
          <w:numId w:val="2"/>
        </w:numPr>
        <w:spacing w:after="80"/>
      </w:pPr>
      <w:r>
        <w:rPr>
          <w:rFonts w:ascii="Calibri" w:cs="Calibri" w:eastAsia="Calibri" w:hAnsi="Calibri"/>
          <w:sz w:val="22"/>
          <w:szCs w:val="22"/>
        </w:rPr>
        <w:t xml:space="preserve">Credit provider access to applications;</w:t>
      </w:r>
    </w:p>
    <w:p>
      <w:pPr>
        <w:pStyle w:val="ListParagraph"/>
        <w:numPr>
          <w:ilvl w:val="0"/>
          <w:numId w:val="2"/>
        </w:numPr>
        <w:spacing w:after="80"/>
      </w:pPr>
      <w:r>
        <w:rPr>
          <w:rFonts w:ascii="Calibri" w:cs="Calibri" w:eastAsia="Calibri" w:hAnsi="Calibri"/>
          <w:sz w:val="22"/>
          <w:szCs w:val="22"/>
        </w:rPr>
        <w:t xml:space="preserve">Requests for additional information and responses;</w:t>
      </w:r>
    </w:p>
    <w:p>
      <w:pPr>
        <w:pStyle w:val="ListParagraph"/>
        <w:numPr>
          <w:ilvl w:val="0"/>
          <w:numId w:val="2"/>
        </w:numPr>
        <w:spacing w:after="80"/>
      </w:pPr>
      <w:r>
        <w:rPr>
          <w:rFonts w:ascii="Calibri" w:cs="Calibri" w:eastAsia="Calibri" w:hAnsi="Calibri"/>
          <w:sz w:val="22"/>
          <w:szCs w:val="22"/>
        </w:rPr>
        <w:t xml:space="preserve">Credit decisions and timestamps;</w:t>
      </w:r>
    </w:p>
    <w:p>
      <w:pPr>
        <w:pStyle w:val="ListParagraph"/>
        <w:numPr>
          <w:ilvl w:val="0"/>
          <w:numId w:val="2"/>
        </w:numPr>
        <w:spacing w:after="80"/>
      </w:pPr>
      <w:r>
        <w:rPr>
          <w:rFonts w:ascii="Calibri" w:cs="Calibri" w:eastAsia="Calibri" w:hAnsi="Calibri"/>
          <w:sz w:val="22"/>
          <w:szCs w:val="22"/>
        </w:rPr>
        <w:t xml:space="preserve">Loan terms presented and accepted;</w:t>
      </w:r>
    </w:p>
    <w:p>
      <w:pPr>
        <w:pStyle w:val="ListParagraph"/>
        <w:numPr>
          <w:ilvl w:val="0"/>
          <w:numId w:val="2"/>
        </w:numPr>
        <w:spacing w:after="80"/>
      </w:pPr>
      <w:r>
        <w:rPr>
          <w:rFonts w:ascii="Calibri" w:cs="Calibri" w:eastAsia="Calibri" w:hAnsi="Calibri"/>
          <w:sz w:val="22"/>
          <w:szCs w:val="22"/>
        </w:rPr>
        <w:t xml:space="preserve">Digital agreement acceptance;</w:t>
      </w:r>
    </w:p>
    <w:p>
      <w:pPr>
        <w:pStyle w:val="ListParagraph"/>
        <w:numPr>
          <w:ilvl w:val="0"/>
          <w:numId w:val="2"/>
        </w:numPr>
        <w:spacing w:after="80"/>
      </w:pPr>
      <w:r>
        <w:rPr>
          <w:rFonts w:ascii="Calibri" w:cs="Calibri" w:eastAsia="Calibri" w:hAnsi="Calibri"/>
          <w:sz w:val="22"/>
          <w:szCs w:val="22"/>
        </w:rPr>
        <w:t xml:space="preserve">Payment instructions;</w:t>
      </w:r>
    </w:p>
    <w:p>
      <w:pPr>
        <w:pStyle w:val="ListParagraph"/>
        <w:numPr>
          <w:ilvl w:val="0"/>
          <w:numId w:val="2"/>
        </w:numPr>
        <w:spacing w:after="80"/>
      </w:pPr>
      <w:r>
        <w:rPr>
          <w:rFonts w:ascii="Calibri" w:cs="Calibri" w:eastAsia="Calibri" w:hAnsi="Calibri"/>
          <w:sz w:val="22"/>
          <w:szCs w:val="22"/>
        </w:rPr>
        <w:t xml:space="preserve">Disbursement references and confirmations;</w:t>
      </w:r>
    </w:p>
    <w:p>
      <w:pPr>
        <w:pStyle w:val="ListParagraph"/>
        <w:numPr>
          <w:ilvl w:val="0"/>
          <w:numId w:val="2"/>
        </w:numPr>
        <w:spacing w:after="80"/>
      </w:pPr>
      <w:r>
        <w:rPr>
          <w:rFonts w:ascii="Calibri" w:cs="Calibri" w:eastAsia="Calibri" w:hAnsi="Calibri"/>
          <w:sz w:val="22"/>
          <w:szCs w:val="22"/>
        </w:rPr>
        <w:t xml:space="preserve">Repayment references and confirmations;</w:t>
      </w:r>
    </w:p>
    <w:p>
      <w:pPr>
        <w:pStyle w:val="ListParagraph"/>
        <w:numPr>
          <w:ilvl w:val="0"/>
          <w:numId w:val="2"/>
        </w:numPr>
        <w:spacing w:after="80"/>
      </w:pPr>
      <w:r>
        <w:rPr>
          <w:rFonts w:ascii="Calibri" w:cs="Calibri" w:eastAsia="Calibri" w:hAnsi="Calibri"/>
          <w:sz w:val="22"/>
          <w:szCs w:val="22"/>
        </w:rPr>
        <w:t xml:space="preserve">Econet API transaction confirmations (for EcoCash disbursements and repayments): transaction reference, amount, sender, receiver, timestamp, status and channel — recorded automatically without manual input;</w:t>
      </w:r>
    </w:p>
    <w:p>
      <w:pPr>
        <w:pStyle w:val="ListParagraph"/>
        <w:numPr>
          <w:ilvl w:val="0"/>
          <w:numId w:val="2"/>
        </w:numPr>
        <w:spacing w:after="80"/>
      </w:pPr>
      <w:r>
        <w:rPr>
          <w:rFonts w:ascii="Calibri" w:cs="Calibri" w:eastAsia="Calibri" w:hAnsi="Calibri"/>
          <w:sz w:val="22"/>
          <w:szCs w:val="22"/>
        </w:rPr>
        <w:t xml:space="preserve">Payment status changes;</w:t>
      </w:r>
    </w:p>
    <w:p>
      <w:pPr>
        <w:pStyle w:val="ListParagraph"/>
        <w:numPr>
          <w:ilvl w:val="0"/>
          <w:numId w:val="2"/>
        </w:numPr>
        <w:spacing w:after="80"/>
      </w:pPr>
      <w:r>
        <w:rPr>
          <w:rFonts w:ascii="Calibri" w:cs="Calibri" w:eastAsia="Calibri" w:hAnsi="Calibri"/>
          <w:sz w:val="22"/>
          <w:szCs w:val="22"/>
        </w:rPr>
        <w:t xml:space="preserve">Notifications and material communications;</w:t>
      </w:r>
    </w:p>
    <w:p>
      <w:pPr>
        <w:pStyle w:val="ListParagraph"/>
        <w:numPr>
          <w:ilvl w:val="0"/>
          <w:numId w:val="2"/>
        </w:numPr>
        <w:spacing w:after="80"/>
      </w:pPr>
      <w:r>
        <w:rPr>
          <w:rFonts w:ascii="Calibri" w:cs="Calibri" w:eastAsia="Calibri" w:hAnsi="Calibri"/>
          <w:sz w:val="22"/>
          <w:szCs w:val="22"/>
        </w:rPr>
        <w:t xml:space="preserve">Complaints and responses;</w:t>
      </w:r>
    </w:p>
    <w:p>
      <w:pPr>
        <w:pStyle w:val="ListParagraph"/>
        <w:numPr>
          <w:ilvl w:val="0"/>
          <w:numId w:val="2"/>
        </w:numPr>
        <w:spacing w:after="80"/>
      </w:pPr>
      <w:r>
        <w:rPr>
          <w:rFonts w:ascii="Calibri" w:cs="Calibri" w:eastAsia="Calibri" w:hAnsi="Calibri"/>
          <w:sz w:val="22"/>
          <w:szCs w:val="22"/>
        </w:rPr>
        <w:t xml:space="preserve">Changes to loan or customer records;</w:t>
      </w:r>
    </w:p>
    <w:p>
      <w:pPr>
        <w:pStyle w:val="ListParagraph"/>
        <w:numPr>
          <w:ilvl w:val="0"/>
          <w:numId w:val="2"/>
        </w:numPr>
        <w:spacing w:after="80"/>
      </w:pPr>
      <w:r>
        <w:rPr>
          <w:rFonts w:ascii="Calibri" w:cs="Calibri" w:eastAsia="Calibri" w:hAnsi="Calibri"/>
          <w:sz w:val="22"/>
          <w:szCs w:val="22"/>
        </w:rPr>
        <w:t xml:space="preserve">User identity associated with each material action; and</w:t>
      </w:r>
    </w:p>
    <w:p>
      <w:pPr>
        <w:pStyle w:val="ListParagraph"/>
        <w:numPr>
          <w:ilvl w:val="0"/>
          <w:numId w:val="2"/>
        </w:numPr>
        <w:spacing w:after="80"/>
      </w:pPr>
      <w:r>
        <w:rPr>
          <w:rFonts w:ascii="Calibri" w:cs="Calibri" w:eastAsia="Calibri" w:hAnsi="Calibri"/>
          <w:sz w:val="22"/>
          <w:szCs w:val="22"/>
        </w:rPr>
        <w:t xml:space="preserve">Date and time stamps and system-generated reference numbers.</w:t>
      </w:r>
    </w:p>
    <w:p>
      <w:pPr>
        <w:spacing w:after="130" w:before="0"/>
        <w:jc w:val="both"/>
      </w:pPr>
      <w:r>
        <w:rPr>
          <w:rFonts w:ascii="Calibri" w:cs="Calibri" w:eastAsia="Calibri" w:hAnsi="Calibri"/>
          <w:b w:val="false"/>
          <w:bCs w:val="false"/>
          <w:i w:val="false"/>
          <w:iCs w:val="false"/>
          <w:color w:val="000000"/>
          <w:sz w:val="22"/>
          <w:szCs w:val="22"/>
        </w:rPr>
        <w:t xml:space="preserve">Each material event is associated with the relevant customer, credit provider, application or loan record and, where applicable, a unique reference number.</w:t>
      </w:r>
    </w:p>
    <w:p>
      <w:pPr>
        <w:pStyle w:val="Heading2"/>
        <w:spacing w:after="120" w:before="240"/>
      </w:pPr>
      <w:r>
        <w:rPr>
          <w:rFonts w:ascii="Calibri" w:cs="Calibri" w:eastAsia="Calibri" w:hAnsi="Calibri"/>
          <w:b/>
          <w:bCs/>
          <w:color w:val="2E75B6"/>
          <w:sz w:val="26"/>
          <w:szCs w:val="26"/>
        </w:rPr>
        <w:t xml:space="preserve">1.8 Platform Boundaries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Credit provider responsibilities</w:t>
            </w:r>
          </w:p>
        </w:tc>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Fedha-Grow responsibilities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assessment and affordability assessment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 operation</w:t>
            </w:r>
          </w:p>
        </w:tc>
      </w:tr>
      <w:t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Lending decision</w:t>
            </w:r>
          </w:p>
        </w:tc>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Controlled information exchange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Loan contracting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Communication and notification functionality</w:t>
            </w:r>
          </w:p>
        </w:tc>
      </w:tr>
      <w:t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Loan disbursement</w:t>
            </w:r>
          </w:p>
        </w:tc>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Payment visibility and reconciliation records (automated for EcoCash via Econet API; manual for EFT/cash)</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Repayment collection and recovery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Audit-trail maintenance</w:t>
            </w:r>
          </w:p>
        </w:tc>
      </w:tr>
      <w:t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Regulatory compliance applicable to lending activities</w:t>
            </w:r>
          </w:p>
        </w:tc>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Platform-level monitoring and reporting</w:t>
            </w:r>
          </w:p>
        </w:tc>
      </w:tr>
    </w:tbl>
    <w:p>
      <w:pPr>
        <w:pStyle w:val="Heading2"/>
        <w:spacing w:after="120" w:before="240"/>
      </w:pPr>
      <w:r>
        <w:rPr>
          <w:rFonts w:ascii="Calibri" w:cs="Calibri" w:eastAsia="Calibri" w:hAnsi="Calibri"/>
          <w:b/>
          <w:bCs/>
          <w:color w:val="2E75B6"/>
          <w:sz w:val="26"/>
          <w:szCs w:val="26"/>
        </w:rPr>
        <w:t xml:space="preserve">1.9 Customer and Credit Provider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Customer visibility</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Credit provider visibility</w:t>
            </w:r>
          </w:p>
        </w:tc>
        <w:tc>
          <w:tcPr>
            <w:tcW w:type="dxa" w:w="33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Fedha-Grow record</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Registration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Profile and verification status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Registration and verification events</w:t>
            </w:r>
          </w:p>
        </w:tc>
      </w:tr>
      <w:tr>
        <w:tc>
          <w:tcPr>
            <w:tcW w:type="dxa" w:w="1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Application</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Application and status</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Application and supporting information</w:t>
            </w:r>
          </w:p>
        </w:tc>
        <w:tc>
          <w:tcPr>
            <w:tcW w:type="dxa" w:w="33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Submission, access and amendments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Assessment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Status and requests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Application and assessment information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Requests and responses</w:t>
            </w:r>
          </w:p>
        </w:tc>
      </w:tr>
      <w:tr>
        <w:tc>
          <w:tcPr>
            <w:tcW w:type="dxa" w:w="1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Decision</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Approval/decline and applicable terms</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Decision record</w:t>
            </w:r>
          </w:p>
        </w:tc>
        <w:tc>
          <w:tcPr>
            <w:tcW w:type="dxa" w:w="33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Decision and timestamp</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Agreement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agreement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agreement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Acceptance record</w:t>
            </w:r>
          </w:p>
        </w:tc>
      </w:tr>
      <w:tr>
        <w:tc>
          <w:tcPr>
            <w:tcW w:type="dxa" w:w="1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Disbursement</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Payment status (updated automatically for EcoCash; on manual entry for EFT/cash)</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Payment details</w:t>
            </w:r>
          </w:p>
        </w:tc>
        <w:tc>
          <w:tcPr>
            <w:tcW w:type="dxa" w:w="33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Reference, amount, timestamp, channel and source (Econet API or manual)</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Balance and payment history (real-time for EcoCash)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Payment status (confirmed automatically for EcoCash; manually for EFT/cash)</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Payment reference, confirmation source and audit trail</w:t>
            </w:r>
          </w:p>
        </w:tc>
      </w:tr>
      <w:tr>
        <w:tc>
          <w:tcPr>
            <w:tcW w:type="dxa" w:w="1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Complaint</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Complaint status</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Complaint and response</w:t>
            </w:r>
          </w:p>
        </w:tc>
        <w:tc>
          <w:tcPr>
            <w:tcW w:type="dxa" w:w="33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complaint audit trail</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Settlement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Settled status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Portfolio record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Settlement event</w:t>
            </w:r>
          </w:p>
        </w:tc>
      </w:tr>
    </w:tbl>
    <w:p>
      <w:r>
        <w:br w:type="page"/>
      </w:r>
    </w:p>
    <w:p>
      <w:pPr>
        <w:spacing w:after="300" w:before="200"/>
        <w:jc w:val="center"/>
      </w:pPr>
      <w:r>
        <w:rPr>
          <w:rFonts w:ascii="Calibri" w:cs="Calibri" w:eastAsia="Calibri" w:hAnsi="Calibri"/>
          <w:b/>
          <w:bCs/>
          <w:color w:val="1F4E79"/>
          <w:sz w:val="36"/>
          <w:szCs w:val="36"/>
        </w:rPr>
        <w:t xml:space="preserve">PART 2</w:t>
      </w:r>
    </w:p>
    <w:p>
      <w:pPr>
        <w:spacing w:after="400"/>
        <w:jc w:val="center"/>
      </w:pPr>
      <w:r>
        <w:rPr>
          <w:rFonts w:ascii="Calibri" w:cs="Calibri" w:eastAsia="Calibri" w:hAnsi="Calibri"/>
          <w:color w:val="2E75B6"/>
          <w:sz w:val="28"/>
          <w:szCs w:val="28"/>
        </w:rPr>
        <w:t xml:space="preserve">Payment Model and Payment Flows</w:t>
      </w:r>
    </w:p>
    <w:p>
      <w:pPr>
        <w:pStyle w:val="Heading2"/>
        <w:spacing w:after="120" w:before="240"/>
      </w:pPr>
      <w:r>
        <w:rPr>
          <w:rFonts w:ascii="Calibri" w:cs="Calibri" w:eastAsia="Calibri" w:hAnsi="Calibri"/>
          <w:b/>
          <w:bCs/>
          <w:color w:val="2E75B6"/>
          <w:sz w:val="26"/>
          <w:szCs w:val="26"/>
        </w:rPr>
        <w:t xml:space="preserve">2.1 Platform Role and Boundary</w:t>
      </w:r>
    </w:p>
    <w:p>
      <w:pPr>
        <w:spacing w:after="130" w:before="0"/>
        <w:jc w:val="both"/>
      </w:pPr>
      <w:r>
        <w:rPr>
          <w:rFonts w:ascii="Calibri" w:cs="Calibri" w:eastAsia="Calibri" w:hAnsi="Calibri"/>
          <w:b w:val="false"/>
          <w:bCs w:val="false"/>
          <w:i w:val="false"/>
          <w:iCs w:val="false"/>
          <w:color w:val="000000"/>
          <w:sz w:val="22"/>
          <w:szCs w:val="22"/>
        </w:rPr>
        <w:t xml:space="preserve">Fedha-Grow’s role in the payment process is that of a facilitator and record-keeper, not a funds handler. The platform does not hold, pool, or transmit customer funds at any stage of the lending lifecycle. All monetary transactions occur directly between the credit provider and the borrower through licensed payment channels.</w:t>
      </w:r>
    </w:p>
    <w:p>
      <w:pPr>
        <w:spacing w:after="130" w:before="0"/>
        <w:jc w:val="both"/>
      </w:pPr>
      <w:r>
        <w:rPr>
          <w:rFonts w:ascii="Calibri" w:cs="Calibri" w:eastAsia="Calibri" w:hAnsi="Calibri"/>
          <w:b w:val="false"/>
          <w:bCs w:val="false"/>
          <w:i w:val="false"/>
          <w:iCs w:val="false"/>
          <w:color w:val="000000"/>
          <w:sz w:val="22"/>
          <w:szCs w:val="22"/>
        </w:rPr>
        <w:t xml:space="preserve">Specifically, Fedha-Grow:</w:t>
      </w:r>
    </w:p>
    <w:p>
      <w:pPr>
        <w:pStyle w:val="ListParagraph"/>
        <w:numPr>
          <w:ilvl w:val="0"/>
          <w:numId w:val="2"/>
        </w:numPr>
        <w:spacing w:after="80"/>
      </w:pPr>
      <w:r>
        <w:rPr>
          <w:rFonts w:ascii="Calibri" w:cs="Calibri" w:eastAsia="Calibri" w:hAnsi="Calibri"/>
          <w:sz w:val="22"/>
          <w:szCs w:val="22"/>
        </w:rPr>
        <w:t xml:space="preserve">Does NOT receive, hold, or disburse loan funds on behalf of any party.</w:t>
      </w:r>
    </w:p>
    <w:p>
      <w:pPr>
        <w:pStyle w:val="ListParagraph"/>
        <w:numPr>
          <w:ilvl w:val="0"/>
          <w:numId w:val="2"/>
        </w:numPr>
        <w:spacing w:after="80"/>
      </w:pPr>
      <w:r>
        <w:rPr>
          <w:rFonts w:ascii="Calibri" w:cs="Calibri" w:eastAsia="Calibri" w:hAnsi="Calibri"/>
          <w:sz w:val="22"/>
          <w:szCs w:val="22"/>
        </w:rPr>
        <w:t xml:space="preserve">Does NOT debit or deduct funds from any borrower’s account, wallet, or payment instrument.</w:t>
      </w:r>
    </w:p>
    <w:p>
      <w:pPr>
        <w:pStyle w:val="ListParagraph"/>
        <w:numPr>
          <w:ilvl w:val="0"/>
          <w:numId w:val="2"/>
        </w:numPr>
        <w:spacing w:after="80"/>
      </w:pPr>
      <w:r>
        <w:rPr>
          <w:rFonts w:ascii="Calibri" w:cs="Calibri" w:eastAsia="Calibri" w:hAnsi="Calibri"/>
          <w:sz w:val="22"/>
          <w:szCs w:val="22"/>
        </w:rPr>
        <w:t xml:space="preserve">Does NOT act as a settlement agent between credit providers and borrowers.</w:t>
      </w:r>
    </w:p>
    <w:p>
      <w:pPr>
        <w:pStyle w:val="ListParagraph"/>
        <w:numPr>
          <w:ilvl w:val="0"/>
          <w:numId w:val="2"/>
        </w:numPr>
        <w:spacing w:after="80"/>
      </w:pPr>
      <w:r>
        <w:rPr>
          <w:rFonts w:ascii="Calibri" w:cs="Calibri" w:eastAsia="Calibri" w:hAnsi="Calibri"/>
          <w:sz w:val="22"/>
          <w:szCs w:val="22"/>
        </w:rPr>
        <w:t xml:space="preserve">DOES record and track payment references, amounts, timestamps, and statuses for transparency, audit, and regulatory reporting.</w:t>
      </w:r>
    </w:p>
    <w:p>
      <w:pPr>
        <w:pStyle w:val="ListParagraph"/>
        <w:numPr>
          <w:ilvl w:val="0"/>
          <w:numId w:val="2"/>
        </w:numPr>
        <w:spacing w:after="80"/>
      </w:pPr>
      <w:r>
        <w:rPr>
          <w:rFonts w:ascii="Calibri" w:cs="Calibri" w:eastAsia="Calibri" w:hAnsi="Calibri"/>
          <w:sz w:val="22"/>
          <w:szCs w:val="22"/>
        </w:rPr>
        <w:t xml:space="preserve">DOES provide a payment visibility layer so that both the credit provider and borrower can view payment status, schedules, and history through the platform.</w:t>
      </w:r>
    </w:p>
    <w:p>
      <w:pPr>
        <w:spacing w:after="130" w:before="120"/>
        <w:jc w:val="both"/>
      </w:pPr>
      <w:r>
        <w:rPr>
          <w:rFonts w:ascii="Calibri" w:cs="Calibri" w:eastAsia="Calibri" w:hAnsi="Calibri"/>
          <w:b/>
          <w:bCs/>
          <w:sz w:val="22"/>
          <w:szCs w:val="22"/>
        </w:rPr>
        <w:t xml:space="preserve">Econet API integration and the platform boundary: </w:t>
      </w:r>
      <w:r>
        <w:rPr>
          <w:rFonts w:ascii="Calibri" w:cs="Calibri" w:eastAsia="Calibri" w:hAnsi="Calibri"/>
          <w:sz w:val="22"/>
          <w:szCs w:val="22"/>
        </w:rPr>
        <w:t xml:space="preserve">Fedha-Grow has proposed an API integration with Econet Lesotho (EcoCash) through which the platform receives real-time transaction confirmation data (reference, amount, sender, receiver, timestamp, status) after a payment has been independently completed between the credit provider and the borrower. Fedha-Grow does not initiate, authorise, process, or settle the transaction. The integration is a data feed, not a payment instruction channel. Funds continue to flow directly between the credit provider and the borrower through EcoCash, with Fedha-Grow receiving a record of the completed transaction for platform recording, visibility and audit purposes. This integration does not change Fedha-Grow’s platform boundary.</w:t>
      </w:r>
    </w:p>
    <w:p>
      <w:pPr>
        <w:pStyle w:val="Heading2"/>
        <w:spacing w:after="120" w:before="240"/>
      </w:pPr>
      <w:r>
        <w:rPr>
          <w:rFonts w:ascii="Calibri" w:cs="Calibri" w:eastAsia="Calibri" w:hAnsi="Calibri"/>
          <w:b/>
          <w:bCs/>
          <w:color w:val="2E75B6"/>
          <w:sz w:val="26"/>
          <w:szCs w:val="26"/>
        </w:rPr>
        <w:t xml:space="preserve">2.2 Payment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Payment channel</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Provider / route</w:t>
            </w:r>
          </w:p>
        </w:tc>
        <w:tc>
          <w:tcPr>
            <w:tcW w:type="dxa" w:w="2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 case</w:t>
            </w:r>
          </w:p>
        </w:tc>
        <w:tc>
          <w:tcPr>
            <w:tcW w:type="dxa" w:w="25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Recording method</w:t>
            </w:r>
          </w:p>
        </w:tc>
      </w:tr>
      <w:tr>
        <w:tc>
          <w:tcPr>
            <w:tcW w:type="dxa" w:w="20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Mobile money (Econet EcoCash)</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Econet Lesotho — EcoCash</w:t>
            </w:r>
          </w:p>
        </w:tc>
        <w:tc>
          <w:tcPr>
            <w:tcW w:type="dxa" w:w="26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Loan disbursement and borrower repayments via mobile wallets</w:t>
            </w:r>
          </w:p>
        </w:tc>
        <w:tc>
          <w:tcPr>
            <w:tcW w:type="dxa" w:w="25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2E7D32"/>
                <w:sz w:val="20"/>
                <w:szCs w:val="20"/>
              </w:rPr>
              <w:t xml:space="preserve">Automated: real-time transaction feed via Econet API. No manual entry required.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Mobile money (Vodacom M-Pesa)</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Vodacom Lesotho — M-Pesa</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Loan disbursement and repayment</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 (pending future integration): credit provider or borrower enters payment reference.</w:t>
            </w:r>
          </w:p>
        </w:tc>
      </w:tr>
      <w:tr>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Bank transfer (EFT)</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Commercial banks in Lesotho</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Disbursement and repayment for borrowers with bank accounts</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 credit provider or borrower enters EFT reference.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Cash (documented)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provider’s premises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Where borrower has no mobile money or bank account</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 credit provider enters cash receipt reference. Recorded with unique platform reference.</w:t>
            </w:r>
          </w:p>
        </w:tc>
      </w:tr>
    </w:tbl>
    <w:p>
      <w:r>
        <w:br w:type="page"/>
      </w:r>
    </w:p>
    <w:p>
      <w:pPr>
        <w:pStyle w:val="Heading2"/>
        <w:spacing w:after="120" w:before="240"/>
      </w:pPr>
      <w:r>
        <w:rPr>
          <w:rFonts w:ascii="Calibri" w:cs="Calibri" w:eastAsia="Calibri" w:hAnsi="Calibri"/>
          <w:b/>
          <w:bCs/>
          <w:color w:val="2E75B6"/>
          <w:sz w:val="26"/>
          <w:szCs w:val="26"/>
        </w:rPr>
        <w:t xml:space="preserve">2.3 Loan Disbursement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Activity</w:t>
            </w:r>
          </w:p>
        </w:tc>
        <w:tc>
          <w:tcPr>
            <w:tcW w:type="dxa" w:w="66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approved</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reviews the application, conducts its own credit assessment (supplemented by the approved credit bureau’s credit check and platform data), and approves. Decision recorded with timestamp and credit provider identity.</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2</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agreement generated</w:t>
            </w:r>
          </w:p>
        </w:tc>
        <w:tc>
          <w:tcPr>
            <w:tcW w:type="dxa" w:w="6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 generates a digital loan agreement containing amount, interest rate, repayment schedule, total cost of credit and fees. Both parties accept digitally before disbursement proceeds.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method confirmed</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and borrower confirm the disbursement method (EcoCash, M-Pesa, EFT, or cash). Borrower’s payment details are verified and displayed to the credit provider through the platform.</w:t>
            </w:r>
          </w:p>
        </w:tc>
      </w:tr>
      <w:tr>
        <w:tc>
          <w:tcPr>
            <w:tcW w:type="dxa" w:w="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4a</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Credit provider disburses (EcoCash)</w:t>
            </w:r>
          </w:p>
        </w:tc>
        <w:tc>
          <w:tcPr>
            <w:tcW w:type="dxa" w:w="66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initiates disbursement from their EcoCash business wallet to the borrower’s EcoCash wallet. Funds transfer directly from credit provider to borrower. Fedha-Grow does not handle funds.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Credit provider disburses (EFT / Cash)</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initiates disbursement outside Fedha-Grow, using its own banking facility or cash. Funds transfer directly from credit provider to borrower.</w:t>
            </w:r>
          </w:p>
        </w:tc>
      </w:tr>
      <w:tr>
        <w:tc>
          <w:tcPr>
            <w:tcW w:type="dxa" w:w="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5a</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recorded automatically (EcoCash)</w:t>
            </w:r>
          </w:p>
        </w:tc>
        <w:tc>
          <w:tcPr>
            <w:tcW w:type="dxa" w:w="66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Econet API transmits the transaction confirmation to the Fedha-Grow platform in real time. The platform automatically records the EcoCash transaction reference, amount, sender, receiver, timestamp, status and channel. No manual entry is required by either party. The Fedha-Grow Payment Reference (FGPR) is generated and linked to the EcoCash transaction reference.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reference entered manually (EFT / Cash)</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enters the payment reference (EFT reference or cash receipt number) into the Fedha-Grow platform manually. Platform records reference, amount, timestamp and channel for audit.</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6</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Borrower confirms receipt</w:t>
            </w:r>
          </w:p>
        </w:tc>
        <w:tc>
          <w:tcPr>
            <w:tcW w:type="dxa" w:w="6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Borrower receives notification and confirms receipt through the platform. If no confirmation within 48 hours, credit provider is notified and the loan status is flagged.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activates</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Loan status changes to Active. Repayment schedule begins. Loan is recorded in the credit provider’s portfolio and the borrower can view the schedule, balance and next due date.</w:t>
            </w:r>
          </w:p>
        </w:tc>
      </w:tr>
    </w:tbl>
    <w:p>
      <w:pPr>
        <w:pStyle w:val="Heading2"/>
        <w:spacing w:after="120" w:before="240"/>
      </w:pPr>
      <w:r>
        <w:rPr>
          <w:rFonts w:ascii="Calibri" w:cs="Calibri" w:eastAsia="Calibri" w:hAnsi="Calibri"/>
          <w:b/>
          <w:bCs/>
          <w:color w:val="2E75B6"/>
          <w:sz w:val="26"/>
          <w:szCs w:val="26"/>
        </w:rPr>
        <w:t xml:space="preserve">2.4 Loan Repayment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Activity</w:t>
            </w:r>
          </w:p>
        </w:tc>
        <w:tc>
          <w:tcPr>
            <w:tcW w:type="dxa" w:w="66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Reminder sent</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Automated reminders via SMS/WhatsApp at 7 days, 3 days and 1 day before due date, including amount, due date and accepted payment methods.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2</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Borrower views payment details</w:t>
            </w:r>
          </w:p>
        </w:tc>
        <w:tc>
          <w:tcPr>
            <w:tcW w:type="dxa" w:w="6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Borrower views amount due, credit provider’s payment details (EcoCash number, bank account, or physical address), payment reference to use (for EFT/cash), and outstanding balance.</w:t>
            </w:r>
          </w:p>
        </w:tc>
      </w:tr>
      <w:tr>
        <w:tc>
          <w:tcPr>
            <w:tcW w:type="dxa" w:w="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3a</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Borrower pays via EcoCash (PUSH)</w:t>
            </w:r>
          </w:p>
        </w:tc>
        <w:tc>
          <w:tcPr>
            <w:tcW w:type="dxa" w:w="66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Borrower sends payment from their EcoCash wallet to the credit provider’s EcoCash wallet or business number. The borrower initiates the transaction — Fedha-Grow does not debit or pull funds. The Econet API transmits the transaction confirmation to the platform automatically.</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Borrower pays via EFT or Cash (PUSH)</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Borrower makes payment outside Fedha-Grow using their bank account or cash at the credit provider’s premises. Borrower initiates; Fedha-Grow does not debit or pull funds.</w:t>
            </w:r>
          </w:p>
        </w:tc>
      </w:tr>
      <w:tr>
        <w:tc>
          <w:tcPr>
            <w:tcW w:type="dxa" w:w="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4a</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Reference recorded automatically (EcoCash)</w:t>
            </w:r>
          </w:p>
        </w:tc>
        <w:tc>
          <w:tcPr>
            <w:tcW w:type="dxa" w:w="66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The Econet API delivers the transaction confirmation in real time. The platform automatically records the payment reference, amount, date, sender, receiver, status and channel. The loan balance is updated automatically. No manual entry required.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Reference entered manually (EFT / Cash)</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or borrower enters the payment confirmation reference manually. Platform records reference, amount, date and channel. Balance updated.</w:t>
            </w:r>
          </w:p>
        </w:tc>
      </w:tr>
      <w:tr>
        <w:tc>
          <w:tcPr>
            <w:tcW w:type="dxa" w:w="5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5a</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Confirmation (EcoCash)</w:t>
            </w:r>
          </w:p>
        </w:tc>
        <w:tc>
          <w:tcPr>
            <w:tcW w:type="dxa" w:w="666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Because the transaction is confirmed via the Econet API, the dual confirmation (borrower sends + system confirms receipt) is automatic. The credit provider can verify the payment on their dashboard. The complete audit trail is generated without manual intervention.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Confirmation (EFT / Cash)</w:t>
            </w:r>
          </w:p>
        </w:tc>
        <w:tc>
          <w:tcPr>
            <w:tcW w:type="dxa" w:w="6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verifies receipt and confirms on the platform manually. Dual confirmation (borrower sends reference + provider confirms receipt) provides the audit trail.</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6</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Status updated</w:t>
            </w:r>
          </w:p>
        </w:tc>
        <w:tc>
          <w:tcPr>
            <w:tcW w:type="dxa" w:w="6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Loan record is updated and borrower notified. If loan is complete, status changes to Settled and is reported to the approved credit bureau per Regulation 58.</w:t>
            </w:r>
          </w:p>
        </w:tc>
      </w:tr>
    </w:tbl>
    <w:p>
      <w:r>
        <w:br w:type="page"/>
      </w:r>
    </w:p>
    <w:p>
      <w:pPr>
        <w:pStyle w:val="Heading2"/>
        <w:spacing w:after="120" w:before="240"/>
      </w:pPr>
      <w:r>
        <w:rPr>
          <w:rFonts w:ascii="Calibri" w:cs="Calibri" w:eastAsia="Calibri" w:hAnsi="Calibri"/>
          <w:b/>
          <w:bCs/>
          <w:color w:val="2E75B6"/>
          <w:sz w:val="26"/>
          <w:szCs w:val="26"/>
        </w:rPr>
        <w:t xml:space="preserve">2.5 Push vs Pull Clarification</w:t>
      </w:r>
    </w:p>
    <w:p>
      <w:pPr>
        <w:spacing w:after="130" w:before="0"/>
        <w:jc w:val="both"/>
      </w:pPr>
      <w:r>
        <w:rPr>
          <w:rFonts w:ascii="Calibri" w:cs="Calibri" w:eastAsia="Calibri" w:hAnsi="Calibri"/>
          <w:b/>
          <w:bCs/>
          <w:sz w:val="22"/>
          <w:szCs w:val="22"/>
        </w:rPr>
        <w:t xml:space="preserve">All repayment transactions are PUSH payments. </w:t>
      </w:r>
      <w:r>
        <w:rPr>
          <w:rFonts w:ascii="Calibri" w:cs="Calibri" w:eastAsia="Calibri" w:hAnsi="Calibri"/>
          <w:sz w:val="22"/>
          <w:szCs w:val="22"/>
        </w:rPr>
        <w:t xml:space="preserve">The borrower initiates and sends the payment. Fedha-Grow does not pull, debit, or deduct funds from any borrower’s account, wallet, or payment instrument.</w:t>
      </w:r>
    </w:p>
    <w:p>
      <w:pPr>
        <w:spacing w:after="130" w:before="0"/>
        <w:jc w:val="both"/>
      </w:pPr>
      <w:r>
        <w:rPr>
          <w:rFonts w:ascii="Calibri" w:cs="Calibri" w:eastAsia="Calibri" w:hAnsi="Calibri"/>
          <w:b w:val="false"/>
          <w:bCs w:val="false"/>
          <w:i w:val="false"/>
          <w:iCs w:val="false"/>
          <w:color w:val="000000"/>
          <w:sz w:val="22"/>
          <w:szCs w:val="22"/>
        </w:rPr>
        <w:t xml:space="preserve">This design supports:</w:t>
      </w:r>
    </w:p>
    <w:p>
      <w:pPr>
        <w:pStyle w:val="ListParagraph"/>
        <w:numPr>
          <w:ilvl w:val="0"/>
          <w:numId w:val="2"/>
        </w:numPr>
        <w:spacing w:after="80"/>
      </w:pPr>
      <w:r>
        <w:rPr>
          <w:rFonts w:ascii="Calibri" w:cs="Calibri" w:eastAsia="Calibri" w:hAnsi="Calibri"/>
          <w:b/>
          <w:bCs/>
          <w:sz w:val="22"/>
          <w:szCs w:val="22"/>
        </w:rPr>
        <w:t xml:space="preserve">Consumer protection: </w:t>
      </w:r>
      <w:r>
        <w:rPr>
          <w:rFonts w:ascii="Calibri" w:cs="Calibri" w:eastAsia="Calibri" w:hAnsi="Calibri"/>
          <w:sz w:val="22"/>
          <w:szCs w:val="22"/>
        </w:rPr>
        <w:t xml:space="preserve">borrower retains control over funds and payment timing;</w:t>
      </w:r>
    </w:p>
    <w:p>
      <w:pPr>
        <w:pStyle w:val="ListParagraph"/>
        <w:numPr>
          <w:ilvl w:val="0"/>
          <w:numId w:val="2"/>
        </w:numPr>
        <w:spacing w:after="80"/>
      </w:pPr>
      <w:r>
        <w:rPr>
          <w:rFonts w:ascii="Calibri" w:cs="Calibri" w:eastAsia="Calibri" w:hAnsi="Calibri"/>
          <w:b/>
          <w:bCs/>
          <w:sz w:val="22"/>
          <w:szCs w:val="22"/>
        </w:rPr>
        <w:t xml:space="preserve">Regulatory clarity: </w:t>
      </w:r>
      <w:r>
        <w:rPr>
          <w:rFonts w:ascii="Calibri" w:cs="Calibri" w:eastAsia="Calibri" w:hAnsi="Calibri"/>
          <w:sz w:val="22"/>
          <w:szCs w:val="22"/>
        </w:rPr>
        <w:t xml:space="preserve">no direct debit mandates or debit order authorisations are required; and</w:t>
      </w:r>
    </w:p>
    <w:p>
      <w:pPr>
        <w:pStyle w:val="ListParagraph"/>
        <w:numPr>
          <w:ilvl w:val="0"/>
          <w:numId w:val="2"/>
        </w:numPr>
        <w:spacing w:after="80"/>
      </w:pPr>
      <w:r>
        <w:rPr>
          <w:rFonts w:ascii="Calibri" w:cs="Calibri" w:eastAsia="Calibri" w:hAnsi="Calibri"/>
          <w:b/>
          <w:bCs/>
          <w:sz w:val="22"/>
          <w:szCs w:val="22"/>
        </w:rPr>
        <w:t xml:space="preserve">Platform boundary: </w:t>
      </w:r>
      <w:r>
        <w:rPr>
          <w:rFonts w:ascii="Calibri" w:cs="Calibri" w:eastAsia="Calibri" w:hAnsi="Calibri"/>
          <w:sz w:val="22"/>
          <w:szCs w:val="22"/>
        </w:rPr>
        <w:t xml:space="preserve">reinforces Fedha-Grow’s role as facilitator, not payment processor.</w:t>
      </w:r>
    </w:p>
    <w:p>
      <w:pPr>
        <w:spacing w:after="130" w:before="0"/>
        <w:jc w:val="both"/>
      </w:pPr>
      <w:r>
        <w:rPr>
          <w:rFonts w:ascii="Calibri" w:cs="Calibri" w:eastAsia="Calibri" w:hAnsi="Calibri"/>
          <w:b/>
          <w:bCs/>
          <w:sz w:val="22"/>
          <w:szCs w:val="22"/>
        </w:rPr>
        <w:t xml:space="preserve">Econet EcoCash integration note: </w:t>
      </w:r>
      <w:r>
        <w:rPr>
          <w:rFonts w:ascii="Calibri" w:cs="Calibri" w:eastAsia="Calibri" w:hAnsi="Calibri"/>
          <w:sz w:val="22"/>
          <w:szCs w:val="22"/>
        </w:rPr>
        <w:t xml:space="preserve">The proposed integration with Econet Lesotho enables the platform to receive real-time confirmation of EcoCash transactions (both disbursements and repayments) via API. This does not change the push payment model — the borrower still initiates the payment. The integration eliminates the manual reference entry step, not the borrower’s control over payment initiation. Fedha-Grow still does not pull, debit, or deduct funds. The Econet API provides transaction confirmation after the borrower has independently initiated the payment.</w:t>
      </w:r>
    </w:p>
    <w:p>
      <w:pPr>
        <w:spacing w:after="130" w:before="0"/>
        <w:jc w:val="both"/>
      </w:pPr>
      <w:r>
        <w:rPr>
          <w:rFonts w:ascii="Calibri" w:cs="Calibri" w:eastAsia="Calibri" w:hAnsi="Calibri"/>
          <w:b/>
          <w:bCs/>
          <w:sz w:val="22"/>
          <w:szCs w:val="22"/>
        </w:rPr>
        <w:t xml:space="preserve">Future consideration: </w:t>
      </w:r>
      <w:r>
        <w:rPr>
          <w:rFonts w:ascii="Calibri" w:cs="Calibri" w:eastAsia="Calibri" w:hAnsi="Calibri"/>
          <w:sz w:val="22"/>
          <w:szCs w:val="22"/>
        </w:rPr>
        <w:t xml:space="preserve">Fedha-Grow may explore facilitated push payments (pre-populated payment instructions confirmed by the borrower) in a future phase, subject to the Bank’s prior approval.</w:t>
      </w:r>
    </w:p>
    <w:p>
      <w:pPr>
        <w:pStyle w:val="Heading2"/>
        <w:spacing w:after="120" w:before="240"/>
      </w:pPr>
      <w:r>
        <w:rPr>
          <w:rFonts w:ascii="Calibri" w:cs="Calibri" w:eastAsia="Calibri" w:hAnsi="Calibri"/>
          <w:b/>
          <w:bCs/>
          <w:color w:val="2E75B6"/>
          <w:sz w:val="26"/>
          <w:szCs w:val="26"/>
        </w:rPr>
        <w:t xml:space="preserve">2.6 Payment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Information</w:t>
            </w:r>
          </w:p>
        </w:tc>
        <w:tc>
          <w:tcPr>
            <w:tcW w:type="dxa" w:w="3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Visible to borrower</w:t>
            </w:r>
          </w:p>
        </w:tc>
        <w:tc>
          <w:tcPr>
            <w:tcW w:type="dxa" w:w="3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Visible to credit provider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Loan terms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agreement, APR, total cost of credit</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agreement terms</w:t>
            </w:r>
          </w:p>
        </w:tc>
      </w:tr>
      <w:tr>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 schedule</w:t>
            </w:r>
          </w:p>
        </w:tc>
        <w:tc>
          <w:tcPr>
            <w:tcW w:type="dxa" w:w="3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All dates, amounts, running balance</w:t>
            </w:r>
          </w:p>
        </w:tc>
        <w:tc>
          <w:tcPr>
            <w:tcW w:type="dxa" w:w="3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All dates, amounts, collection status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method</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provider’s EcoCash/M-Pesa/bank details</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Borrower’s registered payment details</w:t>
            </w:r>
          </w:p>
        </w:tc>
      </w:tr>
      <w:tr>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Payment status</w:t>
            </w:r>
          </w:p>
        </w:tc>
        <w:tc>
          <w:tcPr>
            <w:tcW w:type="dxa" w:w="3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Pending, Paid, Overdue, Settled (real-time for EcoCash)</w:t>
            </w:r>
          </w:p>
        </w:tc>
        <w:tc>
          <w:tcPr>
            <w:tcW w:type="dxa" w:w="3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Pending, Received, Overdue, Settled (auto-confirmed for EcoCash)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History</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payment history</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payment history</w:t>
            </w:r>
          </w:p>
        </w:tc>
      </w:tr>
    </w:tbl>
    <w:p>
      <w:pPr>
        <w:pStyle w:val="Heading2"/>
        <w:spacing w:after="120" w:before="240"/>
      </w:pPr>
      <w:r>
        <w:rPr>
          <w:rFonts w:ascii="Calibri" w:cs="Calibri" w:eastAsia="Calibri" w:hAnsi="Calibri"/>
          <w:b/>
          <w:bCs/>
          <w:color w:val="2E75B6"/>
          <w:sz w:val="26"/>
          <w:szCs w:val="26"/>
        </w:rPr>
        <w:t xml:space="preserve">2.7 Reconciliation</w:t>
      </w:r>
    </w:p>
    <w:p>
      <w:pPr>
        <w:spacing w:after="130" w:before="0"/>
        <w:jc w:val="both"/>
      </w:pPr>
      <w:r>
        <w:rPr>
          <w:rFonts w:ascii="Calibri" w:cs="Calibri" w:eastAsia="Calibri" w:hAnsi="Calibri"/>
          <w:b w:val="false"/>
          <w:bCs w:val="false"/>
          <w:i w:val="false"/>
          <w:iCs w:val="false"/>
          <w:color w:val="000000"/>
          <w:sz w:val="22"/>
          <w:szCs w:val="22"/>
        </w:rPr>
        <w:t xml:space="preserve">Every payment carries a unique Fedha-Grow Payment Reference (FGPR). For EcoCash transactions, this is automatically linked to the Econet transaction reference via the API integration — creating a verified, tamper-resistant dual-reference without manual input. For EFT and cash transactions, the external reference is entered manually and linked to the FGPR.</w:t>
      </w:r>
    </w:p>
    <w:p>
      <w:pPr>
        <w:spacing w:after="130" w:before="0"/>
        <w:jc w:val="both"/>
      </w:pPr>
      <w:r>
        <w:rPr>
          <w:rFonts w:ascii="Calibri" w:cs="Calibri" w:eastAsia="Calibri" w:hAnsi="Calibri"/>
          <w:b w:val="false"/>
          <w:bCs w:val="false"/>
          <w:i w:val="false"/>
          <w:iCs w:val="false"/>
          <w:color w:val="000000"/>
          <w:sz w:val="22"/>
          <w:szCs w:val="22"/>
        </w:rPr>
        <w:t xml:space="preserve">This dual-reference system enables:</w:t>
      </w:r>
    </w:p>
    <w:p>
      <w:pPr>
        <w:pStyle w:val="ListParagraph"/>
        <w:numPr>
          <w:ilvl w:val="0"/>
          <w:numId w:val="2"/>
        </w:numPr>
        <w:spacing w:after="80"/>
      </w:pPr>
      <w:r>
        <w:rPr>
          <w:rFonts w:ascii="Calibri" w:cs="Calibri" w:eastAsia="Calibri" w:hAnsi="Calibri"/>
          <w:sz w:val="22"/>
          <w:szCs w:val="22"/>
        </w:rPr>
        <w:t xml:space="preserve">Unambiguous payment-to-instalment matching;</w:t>
      </w:r>
    </w:p>
    <w:p>
      <w:pPr>
        <w:pStyle w:val="ListParagraph"/>
        <w:numPr>
          <w:ilvl w:val="0"/>
          <w:numId w:val="2"/>
        </w:numPr>
        <w:spacing w:after="80"/>
      </w:pPr>
      <w:r>
        <w:rPr>
          <w:rFonts w:ascii="Calibri" w:cs="Calibri" w:eastAsia="Calibri" w:hAnsi="Calibri"/>
          <w:sz w:val="22"/>
          <w:szCs w:val="22"/>
        </w:rPr>
        <w:t xml:space="preserve">Rapid dispute resolution — for EcoCash payments, the platform holds independently verified transaction data that neither party entered manually;</w:t>
      </w:r>
    </w:p>
    <w:p>
      <w:pPr>
        <w:pStyle w:val="ListParagraph"/>
        <w:numPr>
          <w:ilvl w:val="0"/>
          <w:numId w:val="2"/>
        </w:numPr>
        <w:spacing w:after="80"/>
      </w:pPr>
      <w:r>
        <w:rPr>
          <w:rFonts w:ascii="Calibri" w:cs="Calibri" w:eastAsia="Calibri" w:hAnsi="Calibri"/>
          <w:sz w:val="22"/>
          <w:szCs w:val="22"/>
        </w:rPr>
        <w:t xml:space="preserve">Prevention of double-counting across multiple loans; and</w:t>
      </w:r>
    </w:p>
    <w:p>
      <w:pPr>
        <w:pStyle w:val="ListParagraph"/>
        <w:numPr>
          <w:ilvl w:val="0"/>
          <w:numId w:val="2"/>
        </w:numPr>
        <w:spacing w:after="80"/>
      </w:pPr>
      <w:r>
        <w:rPr>
          <w:rFonts w:ascii="Calibri" w:cs="Calibri" w:eastAsia="Calibri" w:hAnsi="Calibri"/>
          <w:sz w:val="22"/>
          <w:szCs w:val="22"/>
        </w:rPr>
        <w:t xml:space="preserve">Automated reconciliation for EcoCash transactions versus manual reconciliation for other channels.</w:t>
      </w:r>
    </w:p>
    <w:p>
      <w:pPr>
        <w:pStyle w:val="Heading2"/>
        <w:spacing w:after="120" w:before="240"/>
      </w:pPr>
      <w:r>
        <w:rPr>
          <w:rFonts w:ascii="Calibri" w:cs="Calibri" w:eastAsia="Calibri" w:hAnsi="Calibri"/>
          <w:b/>
          <w:bCs/>
          <w:color w:val="2E75B6"/>
          <w:sz w:val="26"/>
          <w:szCs w:val="26"/>
        </w:rPr>
        <w:t xml:space="preserve">2.8 Funds Flow Summary</w:t>
      </w:r>
    </w:p>
    <w:p>
      <w:pPr>
        <w:spacing w:after="60" w:before="100"/>
        <w:jc w:val="center"/>
      </w:pPr>
      <w:r>
        <w:rPr>
          <w:rFonts w:ascii="Calibri" w:cs="Calibri" w:eastAsia="Calibri" w:hAnsi="Calibri"/>
          <w:b/>
          <w:bCs/>
          <w:color w:val="1F4E79"/>
          <w:sz w:val="24"/>
          <w:szCs w:val="24"/>
        </w:rPr>
        <w:t xml:space="preserve">DISBURSEMENT</w:t>
      </w:r>
    </w:p>
    <w:p>
      <w:pPr>
        <w:spacing w:after="140"/>
        <w:jc w:val="center"/>
      </w:pPr>
      <w:r>
        <w:rPr>
          <w:rFonts w:ascii="Calibri" w:cs="Calibri" w:eastAsia="Calibri" w:hAnsi="Calibri"/>
          <w:sz w:val="22"/>
          <w:szCs w:val="22"/>
        </w:rPr>
        <w:t xml:space="preserve">Credit Provider  ───  [EcoCash / M-Pesa / EFT / Cash]  ───▶  Borrower</w:t>
      </w:r>
    </w:p>
    <w:p>
      <w:pPr>
        <w:spacing w:after="60"/>
        <w:jc w:val="center"/>
      </w:pPr>
      <w:r>
        <w:rPr>
          <w:rFonts w:ascii="Calibri" w:cs="Calibri" w:eastAsia="Calibri" w:hAnsi="Calibri"/>
          <w:b/>
          <w:bCs/>
          <w:color w:val="1F4E79"/>
          <w:sz w:val="24"/>
          <w:szCs w:val="24"/>
        </w:rPr>
        <w:t xml:space="preserve">REPAYMENT (PUSH)</w:t>
      </w:r>
    </w:p>
    <w:p>
      <w:pPr>
        <w:spacing w:after="140"/>
        <w:jc w:val="center"/>
      </w:pPr>
      <w:r>
        <w:rPr>
          <w:rFonts w:ascii="Calibri" w:cs="Calibri" w:eastAsia="Calibri" w:hAnsi="Calibri"/>
          <w:sz w:val="22"/>
          <w:szCs w:val="22"/>
        </w:rPr>
        <w:t xml:space="preserve">Borrower  ───  [EcoCash / M-Pesa / EFT / Cash]  ───▶  Credit Provider</w:t>
      </w:r>
    </w:p>
    <w:p>
      <w:pPr>
        <w:spacing w:after="60"/>
        <w:jc w:val="center"/>
      </w:pPr>
      <w:r>
        <w:rPr>
          <w:rFonts w:ascii="Calibri" w:cs="Calibri" w:eastAsia="Calibri" w:hAnsi="Calibri"/>
          <w:b/>
          <w:bCs/>
          <w:color w:val="2E75B6"/>
          <w:sz w:val="24"/>
          <w:szCs w:val="24"/>
        </w:rPr>
        <w:t xml:space="preserve">FEDHA-GROW’S ROLE</w:t>
      </w:r>
    </w:p>
    <w:p>
      <w:pPr>
        <w:spacing w:after="140"/>
        <w:jc w:val="center"/>
      </w:pPr>
      <w:r>
        <w:rPr>
          <w:rFonts w:ascii="Calibri" w:cs="Calibri" w:eastAsia="Calibri" w:hAnsi="Calibri"/>
          <w:color w:val="555555"/>
          <w:sz w:val="22"/>
          <w:szCs w:val="22"/>
        </w:rPr>
        <w:t xml:space="preserve">Records reference (automatically for EcoCash via Econet API; manually for EFT/cash)  •  Tracks status  •  Sends reminders  •  Provides visibility  •  Generates audit trail  •  Verifies mobile money transactions independently</w:t>
      </w:r>
    </w:p>
    <w:p>
      <w:pPr>
        <w:spacing w:after="60"/>
        <w:jc w:val="center"/>
      </w:pPr>
      <w:r>
        <w:rPr>
          <w:rFonts w:ascii="Calibri" w:cs="Calibri" w:eastAsia="Calibri" w:hAnsi="Calibri"/>
          <w:b/>
          <w:bCs/>
          <w:color w:val="1F4E79"/>
          <w:sz w:val="24"/>
          <w:szCs w:val="24"/>
        </w:rPr>
        <w:t xml:space="preserve">WHEN THE BORROWER DOES NOT PAY</w:t>
      </w:r>
    </w:p>
    <w:p>
      <w:pPr>
        <w:spacing w:after="200"/>
        <w:jc w:val="center"/>
      </w:pPr>
      <w:r>
        <w:rPr>
          <w:rFonts w:ascii="Calibri" w:cs="Calibri" w:eastAsia="Calibri" w:hAnsi="Calibri"/>
          <w:color w:val="555555"/>
          <w:sz w:val="22"/>
          <w:szCs w:val="22"/>
        </w:rPr>
        <w:t xml:space="preserve">Reminder → missed payment → arrears → lender collection process → financial difficulty assessment → restructuring where appropriate → settlement → credit-record update</w:t>
      </w:r>
    </w:p>
    <w:p>
      <w:pPr>
        <w:spacing w:after="130" w:before="0"/>
        <w:jc w:val="both"/>
      </w:pPr>
      <w:r>
        <w:rPr>
          <w:rFonts w:ascii="Calibri" w:cs="Calibri" w:eastAsia="Calibri" w:hAnsi="Calibri"/>
          <w:b w:val="false"/>
          <w:bCs w:val="false"/>
          <w:i/>
          <w:iCs/>
          <w:color w:val="595959"/>
          <w:sz w:val="22"/>
          <w:szCs w:val="22"/>
        </w:rPr>
        <w:t xml:space="preserve">Fedha-Grow never touches, holds, pools, or transmits funds.</w:t>
      </w:r>
    </w:p>
    <w:p>
      <w:pPr>
        <w:pStyle w:val="Heading2"/>
        <w:spacing w:after="120" w:before="240"/>
      </w:pPr>
      <w:r>
        <w:rPr>
          <w:rFonts w:ascii="Calibri" w:cs="Calibri" w:eastAsia="Calibri" w:hAnsi="Calibri"/>
          <w:b/>
          <w:bCs/>
          <w:color w:val="2E75B6"/>
          <w:sz w:val="26"/>
          <w:szCs w:val="26"/>
        </w:rPr>
        <w:t xml:space="preserve">2.9 Payment Channel Comparison</w:t>
      </w:r>
    </w:p>
    <w:p>
      <w:pPr>
        <w:spacing w:after="130" w:before="0"/>
        <w:jc w:val="both"/>
      </w:pPr>
      <w:r>
        <w:rPr>
          <w:rFonts w:ascii="Calibri" w:cs="Calibri" w:eastAsia="Calibri" w:hAnsi="Calibri"/>
          <w:b w:val="false"/>
          <w:bCs w:val="false"/>
          <w:i w:val="false"/>
          <w:iCs w:val="false"/>
          <w:color w:val="000000"/>
          <w:sz w:val="22"/>
          <w:szCs w:val="22"/>
        </w:rPr>
        <w:t xml:space="preserve">The following summarises the operational differences between payment channels available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EcoCash (Econet-integrated)</w:t>
            </w:r>
          </w:p>
        </w:tc>
        <w:tc>
          <w:tcPr>
            <w:tcW w:type="dxa" w:w="1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M-Pesa (pending integration)</w:t>
            </w:r>
          </w:p>
        </w:tc>
        <w:tc>
          <w:tcPr>
            <w:tcW w:type="dxa" w:w="1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EFT (bank transfer)</w:t>
            </w:r>
          </w:p>
        </w:tc>
        <w:tc>
          <w:tcPr>
            <w:tcW w:type="dxa" w:w="17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Recording method</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2E7D32"/>
                <w:sz w:val="20"/>
                <w:szCs w:val="20"/>
              </w:rPr>
              <w:t xml:space="preserve">Automated (Econet API)</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 (future: automated)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Reference entry</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2E7D32"/>
                <w:sz w:val="20"/>
                <w:szCs w:val="20"/>
              </w:rPr>
              <w:t xml:space="preserve">Not required</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Required</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Required</w:t>
            </w:r>
          </w:p>
        </w:tc>
        <w:tc>
          <w:tcPr>
            <w:tcW w:type="dxa" w:w="17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Required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Real-time update</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2E7D32"/>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No (until integrated)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No</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No</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Reconciliation</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2E7D32"/>
                <w:sz w:val="20"/>
                <w:szCs w:val="20"/>
              </w:rPr>
              <w:t xml:space="preserve">Automated</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w:t>
            </w:r>
          </w:p>
        </w:tc>
        <w:tc>
          <w:tcPr>
            <w:tcW w:type="dxa" w:w="17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Manual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Dispute evidence</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bCs/>
                <w:i w:val="false"/>
                <w:iCs w:val="false"/>
                <w:color w:val="2E7D32"/>
                <w:sz w:val="20"/>
                <w:szCs w:val="20"/>
              </w:rPr>
              <w:t xml:space="preserve">API-verified (independent)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Party-entered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Party-entered</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Party-entered</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Borrower friction</w:t>
            </w:r>
          </w:p>
        </w:tc>
        <w:tc>
          <w:tcPr>
            <w:tcW w:type="dxa" w:w="2200"/>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2E7D32"/>
                <w:sz w:val="20"/>
                <w:szCs w:val="20"/>
              </w:rPr>
              <w:t xml:space="preserve">Low (pay and done)</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Medium (pay + enter ref)</w:t>
            </w:r>
          </w:p>
        </w:tc>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Medium (pay + enter ref)</w:t>
            </w:r>
          </w:p>
        </w:tc>
        <w:tc>
          <w:tcPr>
            <w:tcW w:type="dxa" w:w="17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High (travel + pay + ref entered)</w:t>
            </w:r>
          </w:p>
        </w:tc>
      </w:tr>
    </w:tbl>
    <w:p>
      <w:r>
        <w:br w:type="page"/>
      </w:r>
    </w:p>
    <w:p>
      <w:pPr>
        <w:spacing w:after="300" w:before="200"/>
        <w:jc w:val="center"/>
      </w:pPr>
      <w:r>
        <w:rPr>
          <w:rFonts w:ascii="Calibri" w:cs="Calibri" w:eastAsia="Calibri" w:hAnsi="Calibri"/>
          <w:b/>
          <w:bCs/>
          <w:color w:val="1F4E79"/>
          <w:sz w:val="36"/>
          <w:szCs w:val="36"/>
        </w:rPr>
        <w:t xml:space="preserve">PART 3</w:t>
      </w:r>
    </w:p>
    <w:p>
      <w:pPr>
        <w:spacing w:after="400"/>
        <w:jc w:val="center"/>
      </w:pPr>
      <w:r>
        <w:rPr>
          <w:rFonts w:ascii="Calibri" w:cs="Calibri" w:eastAsia="Calibri" w:hAnsi="Calibri"/>
          <w:color w:val="2E75B6"/>
          <w:sz w:val="28"/>
          <w:szCs w:val="28"/>
        </w:rPr>
        <w:t xml:space="preserve">Credit Provider Onboarding Framework</w:t>
      </w:r>
    </w:p>
    <w:p>
      <w:pPr>
        <w:pStyle w:val="Heading2"/>
        <w:spacing w:after="120" w:before="240"/>
      </w:pPr>
      <w:r>
        <w:rPr>
          <w:rFonts w:ascii="Calibri" w:cs="Calibri" w:eastAsia="Calibri" w:hAnsi="Calibri"/>
          <w:b/>
          <w:bCs/>
          <w:color w:val="2E75B6"/>
          <w:sz w:val="26"/>
          <w:szCs w:val="26"/>
        </w:rPr>
        <w:t xml:space="preserve">3.1 Eligibility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2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Requirement</w:t>
            </w:r>
          </w:p>
        </w:tc>
        <w:tc>
          <w:tcPr>
            <w:tcW w:type="dxa" w:w="62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Detail</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CBL licence or registration</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Valid licence under the Financial Institutions Act 2012, Microfinance Regulations 2014 (as Amended 2018), or other applicable legislation. Verified directly with the CBL.</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2</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Business registration</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Legally registered entity with valid business licence from the Ministry of Trade.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Fit-and-proper directors</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All directors and senior management must meet CBL fit-and-proper requirements. Declarations collected during onboarding.</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AML/CFT compliance</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Documented AML/CFT policies per the Money Laundering and Proceeds of Crime Act 2008 (as Amended 2016).</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Responsible lending practices</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Demonstrated affordability assessments, transparent fee disclosures and fair collection procedures.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6</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Credit bureau participation</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Registered with the approved credit bureau or agrees to register before onboarding completes, per Regulation 58.</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7</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Complaints procedure</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Documented complaints procedure meeting Part 4 standards.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8</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Data protection</w:t>
            </w:r>
          </w:p>
        </w:tc>
        <w:tc>
          <w:tcPr>
            <w:tcW w:type="dxa" w:w="62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Compliance with Data Protection Act 2012; agreement to Fedha-Grow’s data-sharing terms.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9</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Platform access and information-flow controls</w:t>
            </w:r>
          </w:p>
        </w:tc>
        <w:tc>
          <w:tcPr>
            <w:tcW w:type="dxa" w:w="62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Ability to use the platform in accordance with role-based access, information-sharing, communication, record-keeping and audit-trail requirements.</w:t>
            </w:r>
          </w:p>
        </w:tc>
      </w:tr>
    </w:tbl>
    <w:p>
      <w:pPr>
        <w:pStyle w:val="Heading2"/>
        <w:spacing w:after="120" w:before="240"/>
      </w:pPr>
      <w:r>
        <w:rPr>
          <w:rFonts w:ascii="Calibri" w:cs="Calibri" w:eastAsia="Calibri" w:hAnsi="Calibri"/>
          <w:b/>
          <w:bCs/>
          <w:color w:val="2E75B6"/>
          <w:sz w:val="26"/>
          <w:szCs w:val="26"/>
        </w:rPr>
        <w:t xml:space="preserve">3.2 Due Diligence Process</w:t>
      </w:r>
    </w:p>
    <w:p>
      <w:pPr>
        <w:pStyle w:val="Heading3"/>
        <w:spacing w:after="100" w:before="180"/>
      </w:pPr>
      <w:r>
        <w:rPr>
          <w:rFonts w:ascii="Calibri" w:cs="Calibri" w:eastAsia="Calibri" w:hAnsi="Calibri"/>
          <w:b/>
          <w:bCs/>
          <w:color w:val="1F4E79"/>
          <w:sz w:val="23"/>
          <w:szCs w:val="23"/>
        </w:rPr>
        <w:t xml:space="preserve">Layer 1: Document Verification</w:t>
      </w:r>
    </w:p>
    <w:p>
      <w:pPr>
        <w:pStyle w:val="ListParagraph"/>
        <w:numPr>
          <w:ilvl w:val="0"/>
          <w:numId w:val="2"/>
        </w:numPr>
        <w:spacing w:after="80"/>
      </w:pPr>
      <w:r>
        <w:rPr>
          <w:rFonts w:ascii="Calibri" w:cs="Calibri" w:eastAsia="Calibri" w:hAnsi="Calibri"/>
          <w:sz w:val="22"/>
          <w:szCs w:val="22"/>
        </w:rPr>
        <w:t xml:space="preserve">Certified copy of CBL licence or registration.</w:t>
      </w:r>
    </w:p>
    <w:p>
      <w:pPr>
        <w:pStyle w:val="ListParagraph"/>
        <w:numPr>
          <w:ilvl w:val="0"/>
          <w:numId w:val="2"/>
        </w:numPr>
        <w:spacing w:after="80"/>
      </w:pPr>
      <w:r>
        <w:rPr>
          <w:rFonts w:ascii="Calibri" w:cs="Calibri" w:eastAsia="Calibri" w:hAnsi="Calibri"/>
          <w:sz w:val="22"/>
          <w:szCs w:val="22"/>
        </w:rPr>
        <w:t xml:space="preserve">Company registration certificate and business licence.</w:t>
      </w:r>
    </w:p>
    <w:p>
      <w:pPr>
        <w:pStyle w:val="ListParagraph"/>
        <w:numPr>
          <w:ilvl w:val="0"/>
          <w:numId w:val="2"/>
        </w:numPr>
        <w:spacing w:after="80"/>
      </w:pPr>
      <w:r>
        <w:rPr>
          <w:rFonts w:ascii="Calibri" w:cs="Calibri" w:eastAsia="Calibri" w:hAnsi="Calibri"/>
          <w:sz w:val="22"/>
          <w:szCs w:val="22"/>
        </w:rPr>
        <w:t xml:space="preserve">Identity documents of all directors and beneficial owners.</w:t>
      </w:r>
    </w:p>
    <w:p>
      <w:pPr>
        <w:pStyle w:val="ListParagraph"/>
        <w:numPr>
          <w:ilvl w:val="0"/>
          <w:numId w:val="2"/>
        </w:numPr>
        <w:spacing w:after="80"/>
      </w:pPr>
      <w:r>
        <w:rPr>
          <w:rFonts w:ascii="Calibri" w:cs="Calibri" w:eastAsia="Calibri" w:hAnsi="Calibri"/>
          <w:sz w:val="22"/>
          <w:szCs w:val="22"/>
        </w:rPr>
        <w:t xml:space="preserve">Fit-and-proper declarations for all directors.</w:t>
      </w:r>
    </w:p>
    <w:p>
      <w:pPr>
        <w:pStyle w:val="ListParagraph"/>
        <w:numPr>
          <w:ilvl w:val="0"/>
          <w:numId w:val="2"/>
        </w:numPr>
        <w:spacing w:after="80"/>
      </w:pPr>
      <w:r>
        <w:rPr>
          <w:rFonts w:ascii="Calibri" w:cs="Calibri" w:eastAsia="Calibri" w:hAnsi="Calibri"/>
          <w:sz w:val="22"/>
          <w:szCs w:val="22"/>
        </w:rPr>
        <w:t xml:space="preserve">Proof of physical address (utility bill or lease).</w:t>
      </w:r>
    </w:p>
    <w:p>
      <w:pPr>
        <w:pStyle w:val="ListParagraph"/>
        <w:numPr>
          <w:ilvl w:val="0"/>
          <w:numId w:val="2"/>
        </w:numPr>
        <w:spacing w:after="80"/>
      </w:pPr>
      <w:r>
        <w:rPr>
          <w:rFonts w:ascii="Calibri" w:cs="Calibri" w:eastAsia="Calibri" w:hAnsi="Calibri"/>
          <w:sz w:val="22"/>
          <w:szCs w:val="22"/>
        </w:rPr>
        <w:t xml:space="preserve">Tax clearance certificate from the Lesotho Revenue Authority.</w:t>
      </w:r>
    </w:p>
    <w:p>
      <w:pPr>
        <w:pStyle w:val="ListParagraph"/>
        <w:numPr>
          <w:ilvl w:val="0"/>
          <w:numId w:val="2"/>
        </w:numPr>
        <w:spacing w:after="80"/>
      </w:pPr>
      <w:r>
        <w:rPr>
          <w:rFonts w:ascii="Calibri" w:cs="Calibri" w:eastAsia="Calibri" w:hAnsi="Calibri"/>
          <w:sz w:val="22"/>
          <w:szCs w:val="22"/>
        </w:rPr>
        <w:t xml:space="preserve">AML/CFT policy document.</w:t>
      </w:r>
    </w:p>
    <w:p>
      <w:pPr>
        <w:pStyle w:val="ListParagraph"/>
        <w:numPr>
          <w:ilvl w:val="0"/>
          <w:numId w:val="2"/>
        </w:numPr>
        <w:spacing w:after="80"/>
      </w:pPr>
      <w:r>
        <w:rPr>
          <w:rFonts w:ascii="Calibri" w:cs="Calibri" w:eastAsia="Calibri" w:hAnsi="Calibri"/>
          <w:sz w:val="22"/>
          <w:szCs w:val="22"/>
        </w:rPr>
        <w:t xml:space="preserve">Consumer complaints procedure document.</w:t>
      </w:r>
    </w:p>
    <w:p>
      <w:pPr>
        <w:pStyle w:val="Heading3"/>
        <w:spacing w:after="100" w:before="180"/>
      </w:pPr>
      <w:r>
        <w:rPr>
          <w:rFonts w:ascii="Calibri" w:cs="Calibri" w:eastAsia="Calibri" w:hAnsi="Calibri"/>
          <w:b/>
          <w:bCs/>
          <w:color w:val="1F4E79"/>
          <w:sz w:val="23"/>
          <w:szCs w:val="23"/>
        </w:rPr>
        <w:t xml:space="preserve">Layer 2: Operational Assessment</w:t>
      </w:r>
    </w:p>
    <w:p>
      <w:pPr>
        <w:pStyle w:val="ListParagraph"/>
        <w:numPr>
          <w:ilvl w:val="0"/>
          <w:numId w:val="2"/>
        </w:numPr>
        <w:spacing w:after="80"/>
      </w:pPr>
      <w:r>
        <w:rPr>
          <w:rFonts w:ascii="Calibri" w:cs="Calibri" w:eastAsia="Calibri" w:hAnsi="Calibri"/>
          <w:sz w:val="22"/>
          <w:szCs w:val="22"/>
        </w:rPr>
        <w:t xml:space="preserve">Verification that credit provider is actively operating (site visit or video inspection).</w:t>
      </w:r>
    </w:p>
    <w:p>
      <w:pPr>
        <w:pStyle w:val="ListParagraph"/>
        <w:numPr>
          <w:ilvl w:val="0"/>
          <w:numId w:val="2"/>
        </w:numPr>
        <w:spacing w:after="80"/>
      </w:pPr>
      <w:r>
        <w:rPr>
          <w:rFonts w:ascii="Calibri" w:cs="Calibri" w:eastAsia="Calibri" w:hAnsi="Calibri"/>
          <w:sz w:val="22"/>
          <w:szCs w:val="22"/>
        </w:rPr>
        <w:t xml:space="preserve">Review of current lending portfolio size and product offerings.</w:t>
      </w:r>
    </w:p>
    <w:p>
      <w:pPr>
        <w:pStyle w:val="ListParagraph"/>
        <w:numPr>
          <w:ilvl w:val="0"/>
          <w:numId w:val="2"/>
        </w:numPr>
        <w:spacing w:after="80"/>
      </w:pPr>
      <w:r>
        <w:rPr>
          <w:rFonts w:ascii="Calibri" w:cs="Calibri" w:eastAsia="Calibri" w:hAnsi="Calibri"/>
          <w:sz w:val="22"/>
          <w:szCs w:val="22"/>
        </w:rPr>
        <w:t xml:space="preserve">Assessment of technology capacity to interact with the platform.</w:t>
      </w:r>
    </w:p>
    <w:p>
      <w:pPr>
        <w:pStyle w:val="ListParagraph"/>
        <w:numPr>
          <w:ilvl w:val="0"/>
          <w:numId w:val="2"/>
        </w:numPr>
        <w:spacing w:after="80"/>
      </w:pPr>
      <w:r>
        <w:rPr>
          <w:rFonts w:ascii="Calibri" w:cs="Calibri" w:eastAsia="Calibri" w:hAnsi="Calibri"/>
          <w:sz w:val="22"/>
          <w:szCs w:val="22"/>
        </w:rPr>
        <w:t xml:space="preserve">Review of pricing disclosures and interest rate structures.</w:t>
      </w:r>
    </w:p>
    <w:p>
      <w:pPr>
        <w:pStyle w:val="Heading3"/>
        <w:spacing w:after="100" w:before="180"/>
      </w:pPr>
      <w:r>
        <w:rPr>
          <w:rFonts w:ascii="Calibri" w:cs="Calibri" w:eastAsia="Calibri" w:hAnsi="Calibri"/>
          <w:b/>
          <w:bCs/>
          <w:color w:val="1F4E79"/>
          <w:sz w:val="23"/>
          <w:szCs w:val="23"/>
        </w:rPr>
        <w:t xml:space="preserve">Layer 3: Regulatory Cross-Check</w:t>
      </w:r>
    </w:p>
    <w:p>
      <w:pPr>
        <w:pStyle w:val="ListParagraph"/>
        <w:numPr>
          <w:ilvl w:val="0"/>
          <w:numId w:val="2"/>
        </w:numPr>
        <w:spacing w:after="80"/>
      </w:pPr>
      <w:r>
        <w:rPr>
          <w:rFonts w:ascii="Calibri" w:cs="Calibri" w:eastAsia="Calibri" w:hAnsi="Calibri"/>
          <w:sz w:val="22"/>
          <w:szCs w:val="22"/>
        </w:rPr>
        <w:t xml:space="preserve">Direct confirmation of CBL licence status with the Central Bank.</w:t>
      </w:r>
    </w:p>
    <w:p>
      <w:pPr>
        <w:pStyle w:val="ListParagraph"/>
        <w:numPr>
          <w:ilvl w:val="0"/>
          <w:numId w:val="2"/>
        </w:numPr>
        <w:spacing w:after="80"/>
      </w:pPr>
      <w:r>
        <w:rPr>
          <w:rFonts w:ascii="Calibri" w:cs="Calibri" w:eastAsia="Calibri" w:hAnsi="Calibri"/>
          <w:sz w:val="22"/>
          <w:szCs w:val="22"/>
        </w:rPr>
        <w:t xml:space="preserve">Check against CBL’s published list of licensed financial institutions.</w:t>
      </w:r>
    </w:p>
    <w:p>
      <w:pPr>
        <w:pStyle w:val="ListParagraph"/>
        <w:numPr>
          <w:ilvl w:val="0"/>
          <w:numId w:val="2"/>
        </w:numPr>
        <w:spacing w:after="80"/>
      </w:pPr>
      <w:r>
        <w:rPr>
          <w:rFonts w:ascii="Calibri" w:cs="Calibri" w:eastAsia="Calibri" w:hAnsi="Calibri"/>
          <w:sz w:val="22"/>
          <w:szCs w:val="22"/>
        </w:rPr>
        <w:t xml:space="preserve">Screening against sanctions lists and PEP databases.</w:t>
      </w:r>
    </w:p>
    <w:p>
      <w:pPr>
        <w:pStyle w:val="ListParagraph"/>
        <w:numPr>
          <w:ilvl w:val="0"/>
          <w:numId w:val="2"/>
        </w:numPr>
        <w:spacing w:after="80"/>
      </w:pPr>
      <w:r>
        <w:rPr>
          <w:rFonts w:ascii="Calibri" w:cs="Calibri" w:eastAsia="Calibri" w:hAnsi="Calibri"/>
          <w:sz w:val="22"/>
          <w:szCs w:val="22"/>
        </w:rPr>
        <w:t xml:space="preserve">Review of publicly known regulatory actions or licence suspensions.</w:t>
      </w:r>
    </w:p>
    <w:p>
      <w:pPr>
        <w:pStyle w:val="Heading2"/>
        <w:spacing w:after="120" w:before="240"/>
      </w:pPr>
      <w:r>
        <w:rPr>
          <w:rFonts w:ascii="Calibri" w:cs="Calibri" w:eastAsia="Calibri" w:hAnsi="Calibri"/>
          <w:b/>
          <w:bCs/>
          <w:color w:val="2E75B6"/>
          <w:sz w:val="26"/>
          <w:szCs w:val="26"/>
        </w:rPr>
        <w:t xml:space="preserve">3.3 Onboarding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3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Activity</w:t>
            </w:r>
          </w:p>
        </w:tc>
        <w:tc>
          <w:tcPr>
            <w:tcW w:type="dxa" w:w="56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Timing</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Application — Credit provider submits application and documentation through the designated Fedha-Grow onboarding process.</w:t>
            </w:r>
          </w:p>
        </w:tc>
        <w:tc>
          <w:tcPr>
            <w:tcW w:type="dxa" w:w="5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 1</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2</w:t>
            </w:r>
          </w:p>
        </w:tc>
        <w:tc>
          <w:tcPr>
            <w:tcW w:type="dxa" w:w="3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Document review — Compliance team reviews documents against eligibility requirements. Missing documents flagged.</w:t>
            </w:r>
          </w:p>
        </w:tc>
        <w:tc>
          <w:tcPr>
            <w:tcW w:type="dxa" w:w="5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Days 2–5</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Due diligence — Document verification, operational assessment and regulatory cross-check.</w:t>
            </w:r>
          </w:p>
        </w:tc>
        <w:tc>
          <w:tcPr>
            <w:tcW w:type="dxa" w:w="5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Days 5–10</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w:t>
            </w:r>
          </w:p>
        </w:tc>
        <w:tc>
          <w:tcPr>
            <w:tcW w:type="dxa" w:w="3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Compliance review — Compliance Officer reviews findings: approve, approve with conditions, or reject.</w:t>
            </w:r>
          </w:p>
        </w:tc>
        <w:tc>
          <w:tcPr>
            <w:tcW w:type="dxa" w:w="5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Days 10–12</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Agreement execution — Credit Provider Agreement signed covering terms, data sharing, compliance, fees and termination.</w:t>
            </w:r>
          </w:p>
        </w:tc>
        <w:tc>
          <w:tcPr>
            <w:tcW w:type="dxa" w:w="5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Days 12–15</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6</w:t>
            </w:r>
          </w:p>
        </w:tc>
        <w:tc>
          <w:tcPr>
            <w:tcW w:type="dxa" w:w="3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Platform training — Training on application review, loan management, payment references, reports and complaint handling.</w:t>
            </w:r>
          </w:p>
        </w:tc>
        <w:tc>
          <w:tcPr>
            <w:tcW w:type="dxa" w:w="56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Days 15–17</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7</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Activation — Account activated. Credit provider begins receiving submitted loan applications.</w:t>
            </w:r>
          </w:p>
        </w:tc>
        <w:tc>
          <w:tcPr>
            <w:tcW w:type="dxa" w:w="56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Day 18+</w:t>
            </w:r>
          </w:p>
        </w:tc>
      </w:tr>
    </w:tbl>
    <w:p>
      <w:pPr>
        <w:pStyle w:val="Heading2"/>
        <w:spacing w:after="120" w:before="240"/>
      </w:pPr>
      <w:r>
        <w:rPr>
          <w:rFonts w:ascii="Calibri" w:cs="Calibri" w:eastAsia="Calibri" w:hAnsi="Calibri"/>
          <w:b/>
          <w:bCs/>
          <w:color w:val="2E75B6"/>
          <w:sz w:val="26"/>
          <w:szCs w:val="26"/>
        </w:rPr>
        <w:t xml:space="preserve">3.4 Ongoing Monitoring</w:t>
      </w:r>
    </w:p>
    <w:p>
      <w:pPr>
        <w:pStyle w:val="ListParagraph"/>
        <w:numPr>
          <w:ilvl w:val="0"/>
          <w:numId w:val="2"/>
        </w:numPr>
        <w:spacing w:after="80"/>
      </w:pPr>
      <w:r>
        <w:rPr>
          <w:rFonts w:ascii="Calibri" w:cs="Calibri" w:eastAsia="Calibri" w:hAnsi="Calibri"/>
          <w:sz w:val="22"/>
          <w:szCs w:val="22"/>
        </w:rPr>
        <w:t xml:space="preserve">Annual re-verification of CBL licence and business registration.</w:t>
      </w:r>
    </w:p>
    <w:p>
      <w:pPr>
        <w:pStyle w:val="ListParagraph"/>
        <w:numPr>
          <w:ilvl w:val="0"/>
          <w:numId w:val="2"/>
        </w:numPr>
        <w:spacing w:after="80"/>
      </w:pPr>
      <w:r>
        <w:rPr>
          <w:rFonts w:ascii="Calibri" w:cs="Calibri" w:eastAsia="Calibri" w:hAnsi="Calibri"/>
          <w:sz w:val="22"/>
          <w:szCs w:val="22"/>
        </w:rPr>
        <w:t xml:space="preserve">Quarterly portfolio quality review: default rates, complaint volumes and collection practices.</w:t>
      </w:r>
    </w:p>
    <w:p>
      <w:pPr>
        <w:pStyle w:val="ListParagraph"/>
        <w:numPr>
          <w:ilvl w:val="0"/>
          <w:numId w:val="2"/>
        </w:numPr>
        <w:spacing w:after="80"/>
      </w:pPr>
      <w:r>
        <w:rPr>
          <w:rFonts w:ascii="Calibri" w:cs="Calibri" w:eastAsia="Calibri" w:hAnsi="Calibri"/>
          <w:sz w:val="22"/>
          <w:szCs w:val="22"/>
        </w:rPr>
        <w:t xml:space="preserve">Continuous platform behaviour monitoring: response times, payment confirmation timeliness and borrower feedback.</w:t>
      </w:r>
    </w:p>
    <w:p>
      <w:pPr>
        <w:pStyle w:val="ListParagraph"/>
        <w:numPr>
          <w:ilvl w:val="0"/>
          <w:numId w:val="2"/>
        </w:numPr>
        <w:spacing w:after="80"/>
      </w:pPr>
      <w:r>
        <w:rPr>
          <w:rFonts w:ascii="Calibri" w:cs="Calibri" w:eastAsia="Calibri" w:hAnsi="Calibri"/>
          <w:sz w:val="22"/>
          <w:szCs w:val="22"/>
        </w:rPr>
        <w:t xml:space="preserve">Immediate investigation of complaints alleging predatory lending, hidden fees or harassment.</w:t>
      </w:r>
    </w:p>
    <w:p>
      <w:pPr>
        <w:pStyle w:val="ListParagraph"/>
        <w:numPr>
          <w:ilvl w:val="0"/>
          <w:numId w:val="2"/>
        </w:numPr>
        <w:spacing w:after="80"/>
      </w:pPr>
      <w:r>
        <w:rPr>
          <w:rFonts w:ascii="Calibri" w:cs="Calibri" w:eastAsia="Calibri" w:hAnsi="Calibri"/>
          <w:sz w:val="22"/>
          <w:szCs w:val="22"/>
        </w:rPr>
        <w:t xml:space="preserve">Automated alerts for licence renewal deadlines and published regulatory actions.</w:t>
      </w:r>
    </w:p>
    <w:p>
      <w:pPr>
        <w:pStyle w:val="ListParagraph"/>
        <w:numPr>
          <w:ilvl w:val="0"/>
          <w:numId w:val="2"/>
        </w:numPr>
        <w:spacing w:after="80"/>
      </w:pPr>
      <w:r>
        <w:rPr>
          <w:rFonts w:ascii="Calibri" w:cs="Calibri" w:eastAsia="Calibri" w:hAnsi="Calibri"/>
          <w:sz w:val="22"/>
          <w:szCs w:val="22"/>
        </w:rPr>
        <w:t xml:space="preserve">Monitoring of material platform access and information-flow events in accordance with audit-trail requirements.</w:t>
      </w:r>
    </w:p>
    <w:p>
      <w:pPr>
        <w:pStyle w:val="Heading2"/>
        <w:spacing w:after="120" w:before="240"/>
      </w:pPr>
      <w:r>
        <w:rPr>
          <w:rFonts w:ascii="Calibri" w:cs="Calibri" w:eastAsia="Calibri" w:hAnsi="Calibri"/>
          <w:b/>
          <w:bCs/>
          <w:color w:val="2E75B6"/>
          <w:sz w:val="26"/>
          <w:szCs w:val="26"/>
        </w:rPr>
        <w:t xml:space="preserve">3.5 Suspension and Termination</w:t>
      </w:r>
    </w:p>
    <w:p>
      <w:pPr>
        <w:pStyle w:val="ListParagraph"/>
        <w:numPr>
          <w:ilvl w:val="0"/>
          <w:numId w:val="2"/>
        </w:numPr>
        <w:spacing w:after="80"/>
      </w:pPr>
      <w:r>
        <w:rPr>
          <w:rFonts w:ascii="Calibri" w:cs="Calibri" w:eastAsia="Calibri" w:hAnsi="Calibri"/>
          <w:sz w:val="22"/>
          <w:szCs w:val="22"/>
        </w:rPr>
        <w:t xml:space="preserve">Loss, revocation or suspension of CBL licence.</w:t>
      </w:r>
    </w:p>
    <w:p>
      <w:pPr>
        <w:pStyle w:val="ListParagraph"/>
        <w:numPr>
          <w:ilvl w:val="0"/>
          <w:numId w:val="2"/>
        </w:numPr>
        <w:spacing w:after="80"/>
      </w:pPr>
      <w:r>
        <w:rPr>
          <w:rFonts w:ascii="Calibri" w:cs="Calibri" w:eastAsia="Calibri" w:hAnsi="Calibri"/>
          <w:sz w:val="22"/>
          <w:szCs w:val="22"/>
        </w:rPr>
        <w:t xml:space="preserve">Failure to renew business registration or tax clearance.</w:t>
      </w:r>
    </w:p>
    <w:p>
      <w:pPr>
        <w:pStyle w:val="ListParagraph"/>
        <w:numPr>
          <w:ilvl w:val="0"/>
          <w:numId w:val="2"/>
        </w:numPr>
        <w:spacing w:after="80"/>
      </w:pPr>
      <w:r>
        <w:rPr>
          <w:rFonts w:ascii="Calibri" w:cs="Calibri" w:eastAsia="Calibri" w:hAnsi="Calibri"/>
          <w:sz w:val="22"/>
          <w:szCs w:val="22"/>
        </w:rPr>
        <w:t xml:space="preserve">Material breach of Credit Provider Agreement.</w:t>
      </w:r>
    </w:p>
    <w:p>
      <w:pPr>
        <w:pStyle w:val="ListParagraph"/>
        <w:numPr>
          <w:ilvl w:val="0"/>
          <w:numId w:val="2"/>
        </w:numPr>
        <w:spacing w:after="80"/>
      </w:pPr>
      <w:r>
        <w:rPr>
          <w:rFonts w:ascii="Calibri" w:cs="Calibri" w:eastAsia="Calibri" w:hAnsi="Calibri"/>
          <w:sz w:val="22"/>
          <w:szCs w:val="22"/>
        </w:rPr>
        <w:t xml:space="preserve">Substantiated complaints of predatory lending or borrower harassment.</w:t>
      </w:r>
    </w:p>
    <w:p>
      <w:pPr>
        <w:pStyle w:val="ListParagraph"/>
        <w:numPr>
          <w:ilvl w:val="0"/>
          <w:numId w:val="2"/>
        </w:numPr>
        <w:spacing w:after="80"/>
      </w:pPr>
      <w:r>
        <w:rPr>
          <w:rFonts w:ascii="Calibri" w:cs="Calibri" w:eastAsia="Calibri" w:hAnsi="Calibri"/>
          <w:sz w:val="22"/>
          <w:szCs w:val="22"/>
        </w:rPr>
        <w:t xml:space="preserve">Failure to cooperate with complaints management or regulatory reporting.</w:t>
      </w:r>
    </w:p>
    <w:p>
      <w:pPr>
        <w:pStyle w:val="ListParagraph"/>
        <w:numPr>
          <w:ilvl w:val="0"/>
          <w:numId w:val="2"/>
        </w:numPr>
        <w:spacing w:after="80"/>
      </w:pPr>
      <w:r>
        <w:rPr>
          <w:rFonts w:ascii="Calibri" w:cs="Calibri" w:eastAsia="Calibri" w:hAnsi="Calibri"/>
          <w:sz w:val="22"/>
          <w:szCs w:val="22"/>
        </w:rPr>
        <w:t xml:space="preserve">Any CBL regulatory action or sanction against the credit provider.</w:t>
      </w:r>
    </w:p>
    <w:p>
      <w:pPr>
        <w:spacing w:after="130" w:before="0"/>
        <w:jc w:val="both"/>
      </w:pPr>
      <w:r>
        <w:rPr>
          <w:rFonts w:ascii="Calibri" w:cs="Calibri" w:eastAsia="Calibri" w:hAnsi="Calibri"/>
          <w:b w:val="false"/>
          <w:bCs w:val="false"/>
          <w:i w:val="false"/>
          <w:iCs w:val="false"/>
          <w:color w:val="000000"/>
          <w:sz w:val="22"/>
          <w:szCs w:val="22"/>
        </w:rPr>
        <w:t xml:space="preserve">Suspension is immediate for licence-related deficiencies. Existing loans continue to be serviced. No new applications shall be received. CBL is informed of any suspension related to licensing or consumer protection.</w:t>
      </w:r>
    </w:p>
    <w:p>
      <w:r>
        <w:br w:type="page"/>
      </w:r>
    </w:p>
    <w:p>
      <w:pPr>
        <w:spacing w:after="300" w:before="200"/>
        <w:jc w:val="center"/>
      </w:pPr>
      <w:r>
        <w:rPr>
          <w:rFonts w:ascii="Calibri" w:cs="Calibri" w:eastAsia="Calibri" w:hAnsi="Calibri"/>
          <w:b/>
          <w:bCs/>
          <w:color w:val="1F4E79"/>
          <w:sz w:val="36"/>
          <w:szCs w:val="36"/>
        </w:rPr>
        <w:t xml:space="preserve">PART 4</w:t>
      </w:r>
    </w:p>
    <w:p>
      <w:pPr>
        <w:spacing w:after="400"/>
        <w:jc w:val="center"/>
      </w:pPr>
      <w:r>
        <w:rPr>
          <w:rFonts w:ascii="Calibri" w:cs="Calibri" w:eastAsia="Calibri" w:hAnsi="Calibri"/>
          <w:color w:val="2E75B6"/>
          <w:sz w:val="28"/>
          <w:szCs w:val="28"/>
        </w:rPr>
        <w:t xml:space="preserve">Complaints Management Guidelines</w:t>
      </w:r>
    </w:p>
    <w:p>
      <w:pPr>
        <w:pStyle w:val="Heading2"/>
        <w:spacing w:after="120" w:before="240"/>
      </w:pPr>
      <w:r>
        <w:rPr>
          <w:rFonts w:ascii="Calibri" w:cs="Calibri" w:eastAsia="Calibri" w:hAnsi="Calibri"/>
          <w:b/>
          <w:bCs/>
          <w:color w:val="2E75B6"/>
          <w:sz w:val="26"/>
          <w:szCs w:val="26"/>
        </w:rPr>
        <w:t xml:space="preserve">4.1 Guiding Principles</w:t>
      </w:r>
    </w:p>
    <w:p>
      <w:pPr>
        <w:pStyle w:val="ListParagraph"/>
        <w:numPr>
          <w:ilvl w:val="0"/>
          <w:numId w:val="2"/>
        </w:numPr>
        <w:spacing w:after="80"/>
      </w:pPr>
      <w:r>
        <w:rPr>
          <w:rFonts w:ascii="Calibri" w:cs="Calibri" w:eastAsia="Calibri" w:hAnsi="Calibri"/>
          <w:sz w:val="22"/>
          <w:szCs w:val="22"/>
        </w:rPr>
        <w:t xml:space="preserve">Accessibility: Any borrower can lodge a complaint through multiple channels without barriers.</w:t>
      </w:r>
    </w:p>
    <w:p>
      <w:pPr>
        <w:pStyle w:val="ListParagraph"/>
        <w:numPr>
          <w:ilvl w:val="0"/>
          <w:numId w:val="2"/>
        </w:numPr>
        <w:spacing w:after="80"/>
      </w:pPr>
      <w:r>
        <w:rPr>
          <w:rFonts w:ascii="Calibri" w:cs="Calibri" w:eastAsia="Calibri" w:hAnsi="Calibri"/>
          <w:sz w:val="22"/>
          <w:szCs w:val="22"/>
        </w:rPr>
        <w:t xml:space="preserve">Fairness: Every complaint assessed on merits. Process does not favour the credit provider.</w:t>
      </w:r>
    </w:p>
    <w:p>
      <w:pPr>
        <w:pStyle w:val="ListParagraph"/>
        <w:numPr>
          <w:ilvl w:val="0"/>
          <w:numId w:val="2"/>
        </w:numPr>
        <w:spacing w:after="80"/>
      </w:pPr>
      <w:r>
        <w:rPr>
          <w:rFonts w:ascii="Calibri" w:cs="Calibri" w:eastAsia="Calibri" w:hAnsi="Calibri"/>
          <w:sz w:val="22"/>
          <w:szCs w:val="22"/>
        </w:rPr>
        <w:t xml:space="preserve">Timeliness: Complaints acknowledged promptly and resolved within defined timelines.</w:t>
      </w:r>
    </w:p>
    <w:p>
      <w:pPr>
        <w:pStyle w:val="ListParagraph"/>
        <w:numPr>
          <w:ilvl w:val="0"/>
          <w:numId w:val="2"/>
        </w:numPr>
        <w:spacing w:after="80"/>
      </w:pPr>
      <w:r>
        <w:rPr>
          <w:rFonts w:ascii="Calibri" w:cs="Calibri" w:eastAsia="Calibri" w:hAnsi="Calibri"/>
          <w:sz w:val="22"/>
          <w:szCs w:val="22"/>
        </w:rPr>
        <w:t xml:space="preserve">Transparency: Both parties kept informed at every stage.</w:t>
      </w:r>
    </w:p>
    <w:p>
      <w:pPr>
        <w:pStyle w:val="ListParagraph"/>
        <w:numPr>
          <w:ilvl w:val="0"/>
          <w:numId w:val="2"/>
        </w:numPr>
        <w:spacing w:after="80"/>
      </w:pPr>
      <w:r>
        <w:rPr>
          <w:rFonts w:ascii="Calibri" w:cs="Calibri" w:eastAsia="Calibri" w:hAnsi="Calibri"/>
          <w:sz w:val="22"/>
          <w:szCs w:val="22"/>
        </w:rPr>
        <w:t xml:space="preserve">Confidentiality: Details shared only with parties directly involved.</w:t>
      </w:r>
    </w:p>
    <w:p>
      <w:pPr>
        <w:pStyle w:val="ListParagraph"/>
        <w:numPr>
          <w:ilvl w:val="0"/>
          <w:numId w:val="2"/>
        </w:numPr>
        <w:spacing w:after="80"/>
      </w:pPr>
      <w:r>
        <w:rPr>
          <w:rFonts w:ascii="Calibri" w:cs="Calibri" w:eastAsia="Calibri" w:hAnsi="Calibri"/>
          <w:sz w:val="22"/>
          <w:szCs w:val="22"/>
        </w:rPr>
        <w:t xml:space="preserve">Accountability: All complaints logged, auditable, and reportable to the CBL.</w:t>
      </w:r>
    </w:p>
    <w:p>
      <w:pPr>
        <w:pStyle w:val="ListParagraph"/>
        <w:numPr>
          <w:ilvl w:val="0"/>
          <w:numId w:val="2"/>
        </w:numPr>
        <w:spacing w:after="80"/>
      </w:pPr>
      <w:r>
        <w:rPr>
          <w:rFonts w:ascii="Calibri" w:cs="Calibri" w:eastAsia="Calibri" w:hAnsi="Calibri"/>
          <w:sz w:val="22"/>
          <w:szCs w:val="22"/>
        </w:rPr>
        <w:t xml:space="preserve">Continuous improvement: Patterns analysed and fed back to prevent recurrence.</w:t>
      </w:r>
    </w:p>
    <w:p>
      <w:pPr>
        <w:pStyle w:val="Heading2"/>
        <w:spacing w:after="120" w:before="240"/>
      </w:pPr>
      <w:r>
        <w:rPr>
          <w:rFonts w:ascii="Calibri" w:cs="Calibri" w:eastAsia="Calibri" w:hAnsi="Calibri"/>
          <w:b/>
          <w:bCs/>
          <w:color w:val="2E75B6"/>
          <w:sz w:val="26"/>
          <w:szCs w:val="26"/>
        </w:rPr>
        <w:t xml:space="preserve">4.2 Complaint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61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Lending terms and fees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Hidden charges, undisclosed fees, interest rate disputes, misleading terms</w:t>
            </w:r>
          </w:p>
        </w:tc>
      </w:tr>
      <w:tr>
        <w:tc>
          <w:tcPr>
            <w:tcW w:type="dxa" w:w="3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Disbursement issues</w:t>
            </w:r>
          </w:p>
        </w:tc>
        <w:tc>
          <w:tcPr>
            <w:tcW w:type="dxa" w:w="61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Funds not received, incorrect amount, delayed disbursement</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Repayment disputes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Payment not reflected, incorrect balance, disputed late fees</w:t>
            </w:r>
          </w:p>
        </w:tc>
      </w:tr>
      <w:tr>
        <w:tc>
          <w:tcPr>
            <w:tcW w:type="dxa" w:w="3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Collection practices</w:t>
            </w:r>
          </w:p>
        </w:tc>
        <w:tc>
          <w:tcPr>
            <w:tcW w:type="dxa" w:w="61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Harassment, threats, contacting employer/family, excessive contact</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Platform issues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Technical errors, incorrect information, account access problems</w:t>
            </w:r>
          </w:p>
        </w:tc>
      </w:tr>
      <w:tr>
        <w:tc>
          <w:tcPr>
            <w:tcW w:type="dxa" w:w="3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Data and privacy</w:t>
            </w:r>
          </w:p>
        </w:tc>
        <w:tc>
          <w:tcPr>
            <w:tcW w:type="dxa" w:w="61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Unauthorised sharing, data breach, incorrect personal data</w:t>
            </w:r>
          </w:p>
        </w:tc>
      </w:tr>
    </w:tbl>
    <w:p>
      <w:pPr>
        <w:pStyle w:val="Heading2"/>
        <w:spacing w:after="120" w:before="240"/>
      </w:pPr>
      <w:r>
        <w:rPr>
          <w:rFonts w:ascii="Calibri" w:cs="Calibri" w:eastAsia="Calibri" w:hAnsi="Calibri"/>
          <w:b/>
          <w:bCs/>
          <w:color w:val="2E75B6"/>
          <w:sz w:val="26"/>
          <w:szCs w:val="26"/>
        </w:rPr>
        <w:t xml:space="preserve">4.3 Complaint Channels</w:t>
      </w:r>
    </w:p>
    <w:p>
      <w:pPr>
        <w:pStyle w:val="ListParagraph"/>
        <w:numPr>
          <w:ilvl w:val="0"/>
          <w:numId w:val="2"/>
        </w:numPr>
        <w:spacing w:after="80"/>
      </w:pPr>
      <w:r>
        <w:rPr>
          <w:rFonts w:ascii="Calibri" w:cs="Calibri" w:eastAsia="Calibri" w:hAnsi="Calibri"/>
          <w:sz w:val="22"/>
          <w:szCs w:val="22"/>
        </w:rPr>
        <w:t xml:space="preserve">In-app complaint form (mobile and web, 24/7).</w:t>
      </w:r>
    </w:p>
    <w:p>
      <w:pPr>
        <w:pStyle w:val="ListParagraph"/>
        <w:numPr>
          <w:ilvl w:val="0"/>
          <w:numId w:val="2"/>
        </w:numPr>
        <w:spacing w:after="80"/>
      </w:pPr>
      <w:r>
        <w:rPr>
          <w:rFonts w:ascii="Calibri" w:cs="Calibri" w:eastAsia="Calibri" w:hAnsi="Calibri"/>
          <w:sz w:val="22"/>
          <w:szCs w:val="22"/>
        </w:rPr>
        <w:t xml:space="preserve">WhatsApp (dedicated complaint number with automated acknowledgement).</w:t>
      </w:r>
    </w:p>
    <w:p>
      <w:pPr>
        <w:pStyle w:val="ListParagraph"/>
        <w:numPr>
          <w:ilvl w:val="0"/>
          <w:numId w:val="2"/>
        </w:numPr>
        <w:spacing w:after="80"/>
      </w:pPr>
      <w:r>
        <w:rPr>
          <w:rFonts w:ascii="Calibri" w:cs="Calibri" w:eastAsia="Calibri" w:hAnsi="Calibri"/>
          <w:sz w:val="22"/>
          <w:szCs w:val="22"/>
        </w:rPr>
        <w:t xml:space="preserve">SMS (for feature phone users).</w:t>
      </w:r>
    </w:p>
    <w:p>
      <w:pPr>
        <w:pStyle w:val="ListParagraph"/>
        <w:numPr>
          <w:ilvl w:val="0"/>
          <w:numId w:val="2"/>
        </w:numPr>
        <w:spacing w:after="80"/>
      </w:pPr>
      <w:r>
        <w:rPr>
          <w:rFonts w:ascii="Calibri" w:cs="Calibri" w:eastAsia="Calibri" w:hAnsi="Calibri"/>
          <w:sz w:val="22"/>
          <w:szCs w:val="22"/>
        </w:rPr>
        <w:t xml:space="preserve">Phone (business hours, Monday–Friday, 08h00–17h00).</w:t>
      </w:r>
    </w:p>
    <w:p>
      <w:pPr>
        <w:pStyle w:val="ListParagraph"/>
        <w:numPr>
          <w:ilvl w:val="0"/>
          <w:numId w:val="2"/>
        </w:numPr>
        <w:spacing w:after="80"/>
      </w:pPr>
      <w:r>
        <w:rPr>
          <w:rFonts w:ascii="Calibri" w:cs="Calibri" w:eastAsia="Calibri" w:hAnsi="Calibri"/>
          <w:sz w:val="22"/>
          <w:szCs w:val="22"/>
        </w:rPr>
        <w:t xml:space="preserve">In person (Fedha-Grow office or via group leader with member consent).</w:t>
      </w:r>
    </w:p>
    <w:p>
      <w:pPr>
        <w:pStyle w:val="Heading2"/>
        <w:spacing w:after="120" w:before="240"/>
      </w:pPr>
      <w:r>
        <w:rPr>
          <w:rFonts w:ascii="Calibri" w:cs="Calibri" w:eastAsia="Calibri" w:hAnsi="Calibri"/>
          <w:b/>
          <w:bCs/>
          <w:color w:val="2E75B6"/>
          <w:sz w:val="26"/>
          <w:szCs w:val="26"/>
        </w:rPr>
        <w:t xml:space="preserve">4.4 Resolution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100"/>
        <w:gridCol w:w="2560"/>
      </w:tblGrid>
      <w:tr>
        <w:tc>
          <w:tcPr>
            <w:tcW w:type="dxa" w:w="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41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Activity</w:t>
            </w:r>
          </w:p>
        </w:tc>
        <w:tc>
          <w:tcPr>
            <w:tcW w:type="dxa" w:w="25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Timeline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Receipt and logging</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Complaint received, assigned unique CRN, categorised and logged. Borrower receives automated acknowledgement.</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Within 24 hours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2</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Assessment</w:t>
            </w:r>
          </w:p>
        </w:tc>
        <w:tc>
          <w:tcPr>
            <w:tcW w:type="dxa" w:w="4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Support Lead reviews. Platform issues routed to engineering. Credit provider conduct issues forwarded with response request.</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Within 48 hours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Provider response</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responds with account, documentation and proposed resolution. Non-response treated as compliance failure.</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Within 5 business days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4</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Investigation</w:t>
            </w:r>
          </w:p>
        </w:tc>
        <w:tc>
          <w:tcPr>
            <w:tcW w:type="dxa" w:w="4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Where needed, compliance team reviews transaction records, payment references, loan agreements and communication logs.</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Within 10 business days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Resolution</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Resolution communicated to both parties in writing, stating finding, remedial action and right to escalate.</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Within 15 business days</w:t>
            </w:r>
          </w:p>
        </w:tc>
      </w:tr>
      <w:tr>
        <w:tc>
          <w:tcPr>
            <w:tcW w:type="dxa" w:w="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6</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Remedial action</w:t>
            </w:r>
          </w:p>
        </w:tc>
        <w:tc>
          <w:tcPr>
            <w:tcW w:type="dxa" w:w="4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Credit provider implements corrective action. Compliance tracked by Fedha-Grow.</w:t>
            </w:r>
          </w:p>
        </w:tc>
        <w:tc>
          <w:tcPr>
            <w:tcW w:type="dxa" w:w="25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Within 5 business days of resolution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center"/>
            </w:pPr>
            <w:r>
              <w:rPr>
                <w:rFonts w:ascii="Calibri" w:cs="Calibri" w:eastAsia="Calibri" w:hAnsi="Calibri"/>
                <w:b/>
                <w:bCs/>
                <w:i w:val="false"/>
                <w:iCs w:val="false"/>
                <w:color w:val="000000"/>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Closure</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Full record archived. Retained minimum 7 years.</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Upon remedial completion</w:t>
            </w:r>
          </w:p>
        </w:tc>
      </w:tr>
    </w:tbl>
    <w:p>
      <w:pPr>
        <w:pStyle w:val="Heading2"/>
        <w:spacing w:after="120" w:before="240"/>
      </w:pPr>
      <w:r>
        <w:rPr>
          <w:rFonts w:ascii="Calibri" w:cs="Calibri" w:eastAsia="Calibri" w:hAnsi="Calibri"/>
          <w:b/>
          <w:bCs/>
          <w:color w:val="2E75B6"/>
          <w:sz w:val="26"/>
          <w:szCs w:val="26"/>
        </w:rPr>
        <w:t xml:space="preserve">4.5 Escalation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Level</w:t>
            </w:r>
          </w:p>
        </w:tc>
        <w:tc>
          <w:tcPr>
            <w:tcW w:type="dxa" w:w="2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Escalated to</w:t>
            </w:r>
          </w:p>
        </w:tc>
        <w:tc>
          <w:tcPr>
            <w:tcW w:type="dxa" w:w="54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Support Lead</w:t>
            </w:r>
          </w:p>
        </w:tc>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Initial handling and resolution. Most complaints resolved here.</w:t>
            </w:r>
          </w:p>
        </w:tc>
      </w:tr>
      <w:tr>
        <w:tc>
          <w:tcPr>
            <w:tcW w:type="dxa" w:w="1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2</w:t>
            </w:r>
          </w:p>
        </w:tc>
        <w:tc>
          <w:tcPr>
            <w:tcW w:type="dxa" w:w="2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Compliance Officer</w:t>
            </w:r>
          </w:p>
        </w:tc>
        <w:tc>
          <w:tcPr>
            <w:tcW w:type="dxa" w:w="546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Regulatory issues, repeated non-compliance, predatory lending allegations.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Product Lead</w:t>
            </w:r>
          </w:p>
        </w:tc>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Systemic platform issues, policy disputes, product-level decisions.</w:t>
            </w:r>
          </w:p>
        </w:tc>
      </w:tr>
      <w:tr>
        <w:tc>
          <w:tcPr>
            <w:tcW w:type="dxa" w:w="150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vAlign w:val="top"/>
          </w:tcPr>
          <w:p>
            <w:pPr>
              <w:jc w:val="left"/>
            </w:pPr>
            <w:r>
              <w:rPr>
                <w:rFonts w:ascii="Calibri" w:cs="Calibri" w:eastAsia="Calibri" w:hAnsi="Calibri"/>
                <w:b/>
                <w:bCs/>
                <w:i w:val="false"/>
                <w:iCs w:val="false"/>
                <w:color w:val="000000"/>
                <w:sz w:val="20"/>
                <w:szCs w:val="20"/>
              </w:rPr>
              <w:t xml:space="preserve">4</w:t>
            </w:r>
          </w:p>
        </w:tc>
        <w:tc>
          <w:tcPr>
            <w:tcW w:type="dxa" w:w="240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Central Bank of Lesotho</w:t>
            </w:r>
          </w:p>
        </w:tc>
        <w:tc>
          <w:tcPr>
            <w:tcW w:type="dxa" w:w="54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olor w:val="000000"/>
                <w:sz w:val="20"/>
                <w:szCs w:val="20"/>
              </w:rPr>
              <w:t xml:space="preserve">Unresolved after Levels 1–3, or serious regulatory breaches. Full complaint file provided to the Bank.</w:t>
            </w:r>
          </w:p>
        </w:tc>
      </w:tr>
    </w:tbl>
    <w:p>
      <w:pPr>
        <w:spacing w:after="130" w:before="0"/>
        <w:jc w:val="both"/>
      </w:pPr>
      <w:r>
        <w:rPr>
          <w:rFonts w:ascii="Calibri" w:cs="Calibri" w:eastAsia="Calibri" w:hAnsi="Calibri"/>
          <w:b w:val="false"/>
          <w:bCs w:val="false"/>
          <w:i w:val="false"/>
          <w:iCs w:val="false"/>
          <w:color w:val="000000"/>
          <w:sz w:val="22"/>
          <w:szCs w:val="22"/>
        </w:rPr>
        <w:t xml:space="preserve">Borrowers are informed of their right to escalate to the CBL at every stage. Fedha-Grow does not obstruct CBL escalation.</w:t>
      </w:r>
    </w:p>
    <w:p>
      <w:pPr>
        <w:pStyle w:val="Heading2"/>
        <w:spacing w:after="120" w:before="240"/>
      </w:pPr>
      <w:r>
        <w:rPr>
          <w:rFonts w:ascii="Calibri" w:cs="Calibri" w:eastAsia="Calibri" w:hAnsi="Calibri"/>
          <w:b/>
          <w:bCs/>
          <w:color w:val="2E75B6"/>
          <w:sz w:val="26"/>
          <w:szCs w:val="26"/>
        </w:rPr>
        <w:t xml:space="preserve">4.6 CBL Reporting</w:t>
      </w:r>
    </w:p>
    <w:p>
      <w:pPr>
        <w:pStyle w:val="ListParagraph"/>
        <w:numPr>
          <w:ilvl w:val="0"/>
          <w:numId w:val="2"/>
        </w:numPr>
        <w:spacing w:after="80"/>
      </w:pPr>
      <w:r>
        <w:rPr>
          <w:rFonts w:ascii="Calibri" w:cs="Calibri" w:eastAsia="Calibri" w:hAnsi="Calibri"/>
          <w:b/>
          <w:bCs/>
          <w:sz w:val="22"/>
          <w:szCs w:val="22"/>
        </w:rPr>
        <w:t xml:space="preserve">Quarterly summary: </w:t>
      </w:r>
      <w:r>
        <w:rPr>
          <w:rFonts w:ascii="Calibri" w:cs="Calibri" w:eastAsia="Calibri" w:hAnsi="Calibri"/>
          <w:sz w:val="22"/>
          <w:szCs w:val="22"/>
        </w:rPr>
        <w:t xml:space="preserve">Total complaints by category, by credit provider, resolution rates, average resolution times and escalation volumes.</w:t>
      </w:r>
    </w:p>
    <w:p>
      <w:pPr>
        <w:pStyle w:val="ListParagraph"/>
        <w:numPr>
          <w:ilvl w:val="0"/>
          <w:numId w:val="2"/>
        </w:numPr>
        <w:spacing w:after="80"/>
      </w:pPr>
      <w:r>
        <w:rPr>
          <w:rFonts w:ascii="Calibri" w:cs="Calibri" w:eastAsia="Calibri" w:hAnsi="Calibri"/>
          <w:b/>
          <w:bCs/>
          <w:sz w:val="22"/>
          <w:szCs w:val="22"/>
        </w:rPr>
        <w:t xml:space="preserve">Immediate notification: </w:t>
      </w:r>
      <w:r>
        <w:rPr>
          <w:rFonts w:ascii="Calibri" w:cs="Calibri" w:eastAsia="Calibri" w:hAnsi="Calibri"/>
          <w:sz w:val="22"/>
          <w:szCs w:val="22"/>
        </w:rPr>
        <w:t xml:space="preserve">Alleged fraud, systemic failure or serious regulatory breach reported to CBL within 24 hours.</w:t>
      </w:r>
    </w:p>
    <w:p>
      <w:pPr>
        <w:pStyle w:val="ListParagraph"/>
        <w:numPr>
          <w:ilvl w:val="0"/>
          <w:numId w:val="2"/>
        </w:numPr>
        <w:spacing w:after="80"/>
      </w:pPr>
      <w:r>
        <w:rPr>
          <w:rFonts w:ascii="Calibri" w:cs="Calibri" w:eastAsia="Calibri" w:hAnsi="Calibri"/>
          <w:b/>
          <w:bCs/>
          <w:sz w:val="22"/>
          <w:szCs w:val="22"/>
        </w:rPr>
        <w:t xml:space="preserve">Annual trend analysis: </w:t>
      </w:r>
      <w:r>
        <w:rPr>
          <w:rFonts w:ascii="Calibri" w:cs="Calibri" w:eastAsia="Calibri" w:hAnsi="Calibri"/>
          <w:sz w:val="22"/>
          <w:szCs w:val="22"/>
        </w:rPr>
        <w:t xml:space="preserve">Year-on-year trends, root cause analysis and systemic improvement actions.</w:t>
      </w:r>
    </w:p>
    <w:p>
      <w:pPr>
        <w:spacing w:after="130" w:before="0"/>
        <w:jc w:val="both"/>
      </w:pPr>
      <w:r>
        <w:rPr>
          <w:rFonts w:ascii="Calibri" w:cs="Calibri" w:eastAsia="Calibri" w:hAnsi="Calibri"/>
          <w:b w:val="false"/>
          <w:bCs w:val="false"/>
          <w:i w:val="false"/>
          <w:iCs w:val="false"/>
          <w:color w:val="000000"/>
          <w:sz w:val="22"/>
          <w:szCs w:val="22"/>
        </w:rPr>
        <w:t xml:space="preserve">Records will be maintained and made available to CBL in accordance with applicable legal and regulatory requirements.</w:t>
      </w:r>
    </w:p>
    <w:p>
      <w:pPr>
        <w:pStyle w:val="Heading2"/>
        <w:spacing w:after="120" w:before="240"/>
      </w:pPr>
      <w:r>
        <w:rPr>
          <w:rFonts w:ascii="Calibri" w:cs="Calibri" w:eastAsia="Calibri" w:hAnsi="Calibri"/>
          <w:b/>
          <w:bCs/>
          <w:color w:val="2E75B6"/>
          <w:sz w:val="26"/>
          <w:szCs w:val="26"/>
        </w:rPr>
        <w:t xml:space="preserve">4.7 Credit Provider Obligations</w:t>
      </w:r>
    </w:p>
    <w:p>
      <w:pPr>
        <w:pStyle w:val="ListParagraph"/>
        <w:numPr>
          <w:ilvl w:val="0"/>
          <w:numId w:val="2"/>
        </w:numPr>
        <w:spacing w:after="80"/>
      </w:pPr>
      <w:r>
        <w:rPr>
          <w:rFonts w:ascii="Calibri" w:cs="Calibri" w:eastAsia="Calibri" w:hAnsi="Calibri"/>
          <w:sz w:val="22"/>
          <w:szCs w:val="22"/>
        </w:rPr>
        <w:t xml:space="preserve">Maintain an internal complaints procedure meeting or exceeding these standards.</w:t>
      </w:r>
    </w:p>
    <w:p>
      <w:pPr>
        <w:pStyle w:val="ListParagraph"/>
        <w:numPr>
          <w:ilvl w:val="0"/>
          <w:numId w:val="2"/>
        </w:numPr>
        <w:spacing w:after="80"/>
      </w:pPr>
      <w:r>
        <w:rPr>
          <w:rFonts w:ascii="Calibri" w:cs="Calibri" w:eastAsia="Calibri" w:hAnsi="Calibri"/>
          <w:sz w:val="22"/>
          <w:szCs w:val="22"/>
        </w:rPr>
        <w:t xml:space="preserve">Respond to forwarded complaints within 5 business days.</w:t>
      </w:r>
    </w:p>
    <w:p>
      <w:pPr>
        <w:pStyle w:val="ListParagraph"/>
        <w:numPr>
          <w:ilvl w:val="0"/>
          <w:numId w:val="2"/>
        </w:numPr>
        <w:spacing w:after="80"/>
      </w:pPr>
      <w:r>
        <w:rPr>
          <w:rFonts w:ascii="Calibri" w:cs="Calibri" w:eastAsia="Calibri" w:hAnsi="Calibri"/>
          <w:sz w:val="22"/>
          <w:szCs w:val="22"/>
        </w:rPr>
        <w:t xml:space="preserve">Implement corrective action required as a condition of continued platform participation.</w:t>
      </w:r>
    </w:p>
    <w:p>
      <w:pPr>
        <w:pStyle w:val="ListParagraph"/>
        <w:numPr>
          <w:ilvl w:val="0"/>
          <w:numId w:val="2"/>
        </w:numPr>
        <w:spacing w:after="80"/>
      </w:pPr>
      <w:r>
        <w:rPr>
          <w:rFonts w:ascii="Calibri" w:cs="Calibri" w:eastAsia="Calibri" w:hAnsi="Calibri"/>
          <w:sz w:val="22"/>
          <w:szCs w:val="22"/>
        </w:rPr>
        <w:t xml:space="preserve">Not retaliate against borrowers who complain or escalate.</w:t>
      </w:r>
    </w:p>
    <w:p>
      <w:pPr>
        <w:pStyle w:val="ListParagraph"/>
        <w:numPr>
          <w:ilvl w:val="0"/>
          <w:numId w:val="2"/>
        </w:numPr>
        <w:spacing w:after="80"/>
      </w:pPr>
      <w:r>
        <w:rPr>
          <w:rFonts w:ascii="Calibri" w:cs="Calibri" w:eastAsia="Calibri" w:hAnsi="Calibri"/>
          <w:sz w:val="22"/>
          <w:szCs w:val="22"/>
        </w:rPr>
        <w:t xml:space="preserve">Cooperate fully with Fedha-Grow or CBL investigations.</w:t>
      </w:r>
    </w:p>
    <w:p>
      <w:pPr>
        <w:spacing w:after="130" w:before="0"/>
        <w:jc w:val="both"/>
      </w:pPr>
      <w:r>
        <w:rPr>
          <w:rFonts w:ascii="Calibri" w:cs="Calibri" w:eastAsia="Calibri" w:hAnsi="Calibri"/>
          <w:b w:val="false"/>
          <w:bCs w:val="false"/>
          <w:i w:val="false"/>
          <w:iCs w:val="false"/>
          <w:color w:val="000000"/>
          <w:sz w:val="22"/>
          <w:szCs w:val="22"/>
        </w:rPr>
        <w:t xml:space="preserve">Non-compliance constitutes grounds for suspension or termination per Section 3.5.</w:t>
      </w:r>
    </w:p>
    <w:p>
      <w:r>
        <w:br w:type="page"/>
      </w:r>
    </w:p>
    <w:p>
      <w:pPr>
        <w:pStyle w:val="Heading1"/>
        <w:spacing w:after="180" w:before="360"/>
      </w:pPr>
      <w:r>
        <w:rPr>
          <w:rFonts w:ascii="Calibri" w:cs="Calibri" w:eastAsia="Calibri" w:hAnsi="Calibri"/>
          <w:b/>
          <w:bCs/>
          <w:color w:val="1F4E79"/>
          <w:sz w:val="32"/>
          <w:szCs w:val="32"/>
        </w:rPr>
        <w:t xml:space="preserve">Conclusion and Next Steps</w:t>
      </w:r>
    </w:p>
    <w:p>
      <w:pPr>
        <w:spacing w:after="130" w:before="0"/>
        <w:jc w:val="both"/>
      </w:pPr>
      <w:r>
        <w:rPr>
          <w:rFonts w:ascii="Calibri" w:cs="Calibri" w:eastAsia="Calibri" w:hAnsi="Calibri"/>
          <w:b w:val="false"/>
          <w:bCs w:val="false"/>
          <w:i w:val="false"/>
          <w:iCs w:val="false"/>
          <w:color w:val="000000"/>
          <w:sz w:val="22"/>
          <w:szCs w:val="22"/>
        </w:rPr>
        <w:t xml:space="preserve">Fedha-Grow has revised its business and operating framework in response to the Central Bank of Lesotho’s request for clear and transparent communication, information and payment flows between prospective credit providers and customers.</w:t>
      </w:r>
    </w:p>
    <w:p>
      <w:pPr>
        <w:spacing w:after="130" w:before="0"/>
        <w:jc w:val="both"/>
      </w:pPr>
      <w:r>
        <w:rPr>
          <w:rFonts w:ascii="Calibri" w:cs="Calibri" w:eastAsia="Calibri" w:hAnsi="Calibri"/>
          <w:b w:val="false"/>
          <w:bCs w:val="false"/>
          <w:i w:val="false"/>
          <w:iCs w:val="false"/>
          <w:color w:val="000000"/>
          <w:sz w:val="22"/>
          <w:szCs w:val="22"/>
        </w:rPr>
        <w:t xml:space="preserve">The revised framework establishes a clear separation of responsibilities between Fedha-Grow, customers, participating credit providers, and payment infrastructure partners, while integrating the information, communication, payment, onboarding and complaints processes into a single operating model.</w:t>
      </w:r>
    </w:p>
    <w:p>
      <w:pPr>
        <w:spacing w:after="130" w:before="0"/>
        <w:jc w:val="both"/>
      </w:pPr>
      <w:r>
        <w:rPr>
          <w:rFonts w:ascii="Calibri" w:cs="Calibri" w:eastAsia="Calibri" w:hAnsi="Calibri"/>
          <w:b w:val="false"/>
          <w:bCs w:val="false"/>
          <w:i w:val="false"/>
          <w:iCs w:val="false"/>
          <w:color w:val="000000"/>
          <w:sz w:val="22"/>
          <w:szCs w:val="22"/>
        </w:rPr>
        <w:t xml:space="preserve">The framework distinguishes between automated payment recording (for EcoCash mobile money transactions received in real time via the Econet API integration) and manual payment recording (for EFT and cash transactions). This distinction improves audit trail reliability, reduces borrower friction, and provides the Central Bank with independently verified transaction data for the most commonly used payment channel in Lesotho.</w:t>
      </w:r>
    </w:p>
    <w:p>
      <w:pPr>
        <w:spacing w:after="130" w:before="0"/>
        <w:jc w:val="both"/>
      </w:pPr>
      <w:r>
        <w:rPr>
          <w:rFonts w:ascii="Calibri" w:cs="Calibri" w:eastAsia="Calibri" w:hAnsi="Calibri"/>
          <w:b w:val="false"/>
          <w:bCs w:val="false"/>
          <w:i w:val="false"/>
          <w:iCs w:val="false"/>
          <w:color w:val="000000"/>
          <w:sz w:val="22"/>
          <w:szCs w:val="22"/>
        </w:rPr>
        <w:t xml:space="preserve">The model is designed so that material interactions and transactions facilitated through the platform are recorded against the relevant customer, application, loan or complaint record, with appropriate timestamps, references and user attribution.</w:t>
      </w:r>
    </w:p>
    <w:p>
      <w:pPr>
        <w:spacing w:after="130" w:before="0"/>
        <w:jc w:val="both"/>
      </w:pPr>
      <w:r>
        <w:rPr>
          <w:rFonts w:ascii="Calibri" w:cs="Calibri" w:eastAsia="Calibri" w:hAnsi="Calibri"/>
          <w:b w:val="false"/>
          <w:bCs w:val="false"/>
          <w:i w:val="false"/>
          <w:iCs w:val="false"/>
          <w:color w:val="000000"/>
          <w:sz w:val="22"/>
          <w:szCs w:val="22"/>
        </w:rPr>
        <w:t xml:space="preserve">Fedha-Grow respectfully requests that the Bank review the revised framework and advise whether any further modification, documentation or clarification is required.</w:t>
      </w:r>
    </w:p>
    <w:p>
      <w:pPr>
        <w:spacing w:after="130" w:before="0"/>
        <w:jc w:val="both"/>
      </w:pPr>
      <w:r>
        <w:rPr>
          <w:rFonts w:ascii="Calibri" w:cs="Calibri" w:eastAsia="Calibri" w:hAnsi="Calibri"/>
          <w:b w:val="false"/>
          <w:bCs w:val="false"/>
          <w:i w:val="false"/>
          <w:iCs w:val="false"/>
          <w:color w:val="000000"/>
          <w:sz w:val="22"/>
          <w:szCs w:val="22"/>
        </w:rPr>
        <w:t xml:space="preserve">Fedha-Grow remains available for further discussion, clarification or additional submissions at the Bank’s convenience.</w:t>
      </w:r>
    </w:p>
    <w:p>
      <w:pPr>
        <w:spacing w:before="400"/>
        <w:jc w:val="center"/>
      </w:pPr>
      <w:r>
        <w:rPr>
          <w:rFonts w:ascii="Calibri" w:cs="Calibri" w:eastAsia="Calibri" w:hAnsi="Calibri"/>
          <w:i/>
          <w:iCs/>
          <w:color w:val="595959"/>
          <w:sz w:val="22"/>
          <w:szCs w:val="22"/>
        </w:rPr>
        <w:t xml:space="preserve">— End of Submission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Fedha-Grow | Revised Operating Framework | CBL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Fedha-Grow Revised Operating Framework</dc:title>
  <dc:creator>Fedha-Grow (Pty) Ltd</dc:creator>
  <cp:lastModifiedBy>Un-named</cp:lastModifiedBy>
  <cp:revision>1</cp:revision>
  <dcterms:created xsi:type="dcterms:W3CDTF">2026-09-23T18:55:18.507Z</dcterms:created>
  <dcterms:modified xsi:type="dcterms:W3CDTF">2026-09-23T18:55:18.516Z</dcterms:modified>
</cp:coreProperties>
</file>

<file path=docProps/custom.xml><?xml version="1.0" encoding="utf-8"?>
<Properties xmlns="http://schemas.openxmlformats.org/officeDocument/2006/custom-properties" xmlns:vt="http://schemas.openxmlformats.org/officeDocument/2006/docPropsVTypes"/>
</file>