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0E5B50"/>
          <w:sz w:val="48"/>
          <w:szCs w:val="48"/>
        </w:rPr>
        <w:t xml:space="preserve">Businessplan</w:t>
      </w:r>
    </w:p>
    <w:p>
      <w:pPr>
        <w:spacing w:after="400"/>
      </w:pPr>
      <w:r>
        <w:rPr>
          <w:rFonts w:ascii="Arial" w:cs="Arial" w:eastAsia="Arial" w:hAnsi="Arial"/>
          <w:color w:val="444444"/>
          <w:sz w:val="24"/>
          <w:szCs w:val="24"/>
        </w:rPr>
        <w:t xml:space="preserve">Technische Einrichtung der elektronischen Rechnung für Handwerksbetriebe</w:t>
      </w:r>
    </w:p>
    <w:p>
      <w:pPr>
        <w:spacing w:after="120" w:line="276"/>
      </w:pPr>
      <w:r>
        <w:rPr>
          <w:rFonts w:ascii="Arial" w:cs="Arial" w:eastAsia="Arial" w:hAnsi="Arial"/>
          <w:sz w:val="21"/>
          <w:szCs w:val="21"/>
        </w:rPr>
        <w:t xml:space="preserve">Gründerin/Gründer: </w:t>
      </w:r>
      <w:r>
        <w:rPr>
          <w:rFonts w:ascii="Arial" w:cs="Arial" w:eastAsia="Arial" w:hAnsi="Arial"/>
          <w:b/>
          <w:bCs/>
          <w:color w:val="A93C1B"/>
          <w:sz w:val="21"/>
          <w:szCs w:val="21"/>
        </w:rPr>
        <w:t xml:space="preserve">[Vor- und Nachname]</w:t>
      </w:r>
      <w:r>
        <w:rPr>
          <w:rFonts w:ascii="Arial" w:cs="Arial" w:eastAsia="Arial" w:hAnsi="Arial"/>
          <w:sz w:val="21"/>
          <w:szCs w:val="21"/>
        </w:rPr>
        <w:t xml:space="preserve"/>
      </w:r>
    </w:p>
    <w:p>
      <w:pPr>
        <w:spacing w:after="120" w:line="276"/>
      </w:pPr>
      <w:r>
        <w:rPr>
          <w:rFonts w:ascii="Arial" w:cs="Arial" w:eastAsia="Arial" w:hAnsi="Arial"/>
          <w:sz w:val="21"/>
          <w:szCs w:val="21"/>
        </w:rPr>
        <w:t xml:space="preserve">Anschrift: </w:t>
      </w:r>
      <w:r>
        <w:rPr>
          <w:rFonts w:ascii="Arial" w:cs="Arial" w:eastAsia="Arial" w:hAnsi="Arial"/>
          <w:b/>
          <w:bCs/>
          <w:color w:val="A93C1B"/>
          <w:sz w:val="21"/>
          <w:szCs w:val="21"/>
        </w:rPr>
        <w:t xml:space="preserve">[Straße, PLZ Ort]</w:t>
      </w:r>
      <w:r>
        <w:rPr>
          <w:rFonts w:ascii="Arial" w:cs="Arial" w:eastAsia="Arial" w:hAnsi="Arial"/>
          <w:sz w:val="21"/>
          <w:szCs w:val="21"/>
        </w:rPr>
        <w:t xml:space="preserve"/>
      </w:r>
    </w:p>
    <w:p>
      <w:pPr>
        <w:spacing w:after="120" w:line="276"/>
      </w:pPr>
      <w:r>
        <w:rPr>
          <w:rFonts w:ascii="Arial" w:cs="Arial" w:eastAsia="Arial" w:hAnsi="Arial"/>
          <w:sz w:val="21"/>
          <w:szCs w:val="21"/>
        </w:rPr>
        <w:t xml:space="preserve">Telefon / E-Mail: </w:t>
      </w:r>
      <w:r>
        <w:rPr>
          <w:rFonts w:ascii="Arial" w:cs="Arial" w:eastAsia="Arial" w:hAnsi="Arial"/>
          <w:b/>
          <w:bCs/>
          <w:color w:val="A93C1B"/>
          <w:sz w:val="21"/>
          <w:szCs w:val="21"/>
        </w:rPr>
        <w:t xml:space="preserve">[Telefon] / [E-Mail]</w:t>
      </w:r>
      <w:r>
        <w:rPr>
          <w:rFonts w:ascii="Arial" w:cs="Arial" w:eastAsia="Arial" w:hAnsi="Arial"/>
          <w:sz w:val="21"/>
          <w:szCs w:val="21"/>
        </w:rPr>
        <w:t xml:space="preserve"/>
      </w:r>
    </w:p>
    <w:p>
      <w:pPr>
        <w:spacing w:after="120" w:line="276"/>
      </w:pPr>
      <w:r>
        <w:rPr>
          <w:rFonts w:ascii="Arial" w:cs="Arial" w:eastAsia="Arial" w:hAnsi="Arial"/>
          <w:sz w:val="21"/>
          <w:szCs w:val="21"/>
        </w:rPr>
        <w:t xml:space="preserve">Kundennummer Jobcenter: </w:t>
      </w:r>
      <w:r>
        <w:rPr>
          <w:rFonts w:ascii="Arial" w:cs="Arial" w:eastAsia="Arial" w:hAnsi="Arial"/>
          <w:b/>
          <w:bCs/>
          <w:color w:val="A93C1B"/>
          <w:sz w:val="21"/>
          <w:szCs w:val="21"/>
        </w:rPr>
        <w:t xml:space="preserve">[Nummer]</w:t>
      </w:r>
      <w:r>
        <w:rPr>
          <w:rFonts w:ascii="Arial" w:cs="Arial" w:eastAsia="Arial" w:hAnsi="Arial"/>
          <w:sz w:val="21"/>
          <w:szCs w:val="21"/>
        </w:rPr>
        <w:t xml:space="preserve"/>
      </w:r>
    </w:p>
    <w:p>
      <w:pPr>
        <w:spacing w:after="120" w:line="276"/>
      </w:pPr>
      <w:r>
        <w:rPr>
          <w:rFonts w:ascii="Arial" w:cs="Arial" w:eastAsia="Arial" w:hAnsi="Arial"/>
          <w:sz w:val="21"/>
          <w:szCs w:val="21"/>
        </w:rPr>
        <w:t xml:space="preserve">Geplanter Beginn der Tätigkeit: </w:t>
      </w:r>
      <w:r>
        <w:rPr>
          <w:rFonts w:ascii="Arial" w:cs="Arial" w:eastAsia="Arial" w:hAnsi="Arial"/>
          <w:b/>
          <w:bCs/>
          <w:color w:val="A93C1B"/>
          <w:sz w:val="21"/>
          <w:szCs w:val="21"/>
        </w:rPr>
        <w:t xml:space="preserve">[Monat / Jahr]</w:t>
      </w:r>
      <w:r>
        <w:rPr>
          <w:rFonts w:ascii="Arial" w:cs="Arial" w:eastAsia="Arial" w:hAnsi="Arial"/>
          <w:sz w:val="21"/>
          <w:szCs w:val="21"/>
        </w:rPr>
        <w:t xml:space="preserve"/>
      </w:r>
    </w:p>
    <w:p>
      <w:pPr>
        <w:spacing w:after="120" w:line="276"/>
      </w:pPr>
      <w:r>
        <w:rPr>
          <w:rFonts w:ascii="Arial" w:cs="Arial" w:eastAsia="Arial" w:hAnsi="Arial"/>
          <w:sz w:val="21"/>
          <w:szCs w:val="21"/>
        </w:rPr>
        <w:t xml:space="preserve">Stand: </w:t>
      </w:r>
      <w:r>
        <w:rPr>
          <w:rFonts w:ascii="Arial" w:cs="Arial" w:eastAsia="Arial" w:hAnsi="Arial"/>
          <w:b/>
          <w:bCs/>
          <w:color w:val="A93C1B"/>
          <w:sz w:val="21"/>
          <w:szCs w:val="21"/>
        </w:rPr>
        <w:t xml:space="preserve">[Datum]</w:t>
      </w:r>
      <w:r>
        <w:rPr>
          <w:rFonts w:ascii="Arial" w:cs="Arial" w:eastAsia="Arial" w:hAnsi="Arial"/>
          <w:sz w:val="21"/>
          <w:szCs w:val="21"/>
        </w:rPr>
        <w:t xml:space="preserve"/>
      </w:r>
    </w:p>
    <w:p>
      <w:pPr>
        <w:spacing w:after="240"/>
      </w:pPr>
    </w:p>
    <w:p>
      <w:pPr>
        <w:pBdr>
          <w:top w:val="single" w:color="0E5B50" w:sz="6" w:space="6"/>
        </w:pBdr>
        <w:spacing w:after="200"/>
      </w:pPr>
    </w:p>
    <w:p>
      <w:pPr>
        <w:spacing w:after="120" w:line="276"/>
      </w:pPr>
      <w:r>
        <w:rPr>
          <w:rFonts w:ascii="Arial" w:cs="Arial" w:eastAsia="Arial" w:hAnsi="Arial"/>
          <w:i/>
          <w:iCs/>
          <w:color w:val="444444"/>
          <w:sz w:val="21"/>
          <w:szCs w:val="21"/>
        </w:rPr>
        <w:t xml:space="preserve">Dieser Businessplan wird zusammen mit dem Antrag auf Einstiegsgeld nach § 16b SGB II eingereicht. Die Tätigkeit wird erst nach Bewilligung aufgenommen und das Gewerbe erst dann angemeldet.</w:t>
      </w:r>
    </w:p>
    <w:p>
      <w:pPr>
        <w:pStyle w:val="Heading1"/>
        <w:spacing w:after="160" w:before="360"/>
      </w:pPr>
      <w:r>
        <w:rPr>
          <w:rFonts w:ascii="Arial" w:cs="Arial" w:eastAsia="Arial" w:hAnsi="Arial"/>
          <w:b/>
          <w:bCs/>
          <w:color w:val="0E5B50"/>
          <w:sz w:val="28"/>
          <w:szCs w:val="28"/>
        </w:rPr>
        <w:t xml:space="preserve">1  Zusammenfassung</w:t>
      </w:r>
    </w:p>
    <w:p>
      <w:pPr>
        <w:spacing w:after="120" w:line="276"/>
      </w:pPr>
      <w:r>
        <w:rPr>
          <w:rFonts w:ascii="Arial" w:cs="Arial" w:eastAsia="Arial" w:hAnsi="Arial"/>
          <w:sz w:val="21"/>
          <w:szCs w:val="21"/>
        </w:rPr>
        <w:t xml:space="preserve">Ab dem 1. Januar 2028 müssen alle inländischen Unternehmen im Geschäftsverkehr untereinander elektronische Rechnungen nach der europäischen Norm EN 16931 ausstellen. Für Unternehmen mit mehr als 800.000 Euro Vorjahresumsatz gilt diese Pflicht bereits ab dem 1. Januar 2027. Die Pflicht, elektronische Rechnungen zu empfangen und verarbeiten zu können, besteht seit dem 1. Januar 2025 ausnahmslos für jeden Betrieb.</w:t>
      </w:r>
    </w:p>
    <w:p>
      <w:pPr>
        <w:spacing w:after="120" w:line="276"/>
      </w:pPr>
      <w:r>
        <w:rPr>
          <w:rFonts w:ascii="Arial" w:cs="Arial" w:eastAsia="Arial" w:hAnsi="Arial"/>
          <w:sz w:val="21"/>
          <w:szCs w:val="21"/>
        </w:rPr>
        <w:t xml:space="preserve">Handwerksbetriebe mit weniger als 800.000 Euro Umsatz verfügen in der Regel weder über eine IT-Abteilung noch über einen Dienstleister, der diese Umstellung für sie übernimmt. Ihre Steuerkanzleien führen die Buchhaltung, richten aber keine Rechnungssoftware im Betrieb ein.</w:t>
      </w:r>
    </w:p>
    <w:p>
      <w:pPr>
        <w:spacing w:after="120" w:line="276"/>
      </w:pPr>
      <w:r>
        <w:rPr>
          <w:rFonts w:ascii="Arial" w:cs="Arial" w:eastAsia="Arial" w:hAnsi="Arial"/>
          <w:sz w:val="21"/>
          <w:szCs w:val="21"/>
        </w:rPr>
        <w:t xml:space="preserve">Das Angebot schließt genau diese Lücke: die technische Einrichtung der vorhandenen Rechnungssoftware für Empfang und Versand elektronischer Rechnungen, zum Festpreis, vor Ort beim Betrieb. Steuerberatung wird ausdrücklich nicht erbracht.</w:t>
      </w:r>
    </w:p>
    <w:p>
      <w:pPr>
        <w:spacing w:after="120" w:line="276"/>
      </w:pPr>
      <w:r>
        <w:rPr>
          <w:rFonts w:ascii="Arial" w:cs="Arial" w:eastAsia="Arial" w:hAnsi="Arial"/>
          <w:sz w:val="21"/>
          <w:szCs w:val="21"/>
        </w:rPr>
        <w:t xml:space="preserve">Die Nachfrage ist gesetzlich erzeugt und terminiert. Sie ist nicht von Konjunktur oder Werbebudget abhängig, sondern von einem Stichtag, der für alle gilt.</w:t>
      </w:r>
    </w:p>
    <w:p>
      <w:pPr>
        <w:pStyle w:val="Heading1"/>
        <w:spacing w:after="160" w:before="360"/>
      </w:pPr>
      <w:r>
        <w:rPr>
          <w:rFonts w:ascii="Arial" w:cs="Arial" w:eastAsia="Arial" w:hAnsi="Arial"/>
          <w:b/>
          <w:bCs/>
          <w:color w:val="0E5B50"/>
          <w:sz w:val="28"/>
          <w:szCs w:val="28"/>
        </w:rPr>
        <w:t xml:space="preserve">2  Zur Person</w:t>
      </w:r>
    </w:p>
    <w:p>
      <w:pPr>
        <w:spacing w:after="120" w:line="276"/>
      </w:pPr>
      <w:r>
        <w:rPr>
          <w:rFonts w:ascii="Arial" w:cs="Arial" w:eastAsia="Arial" w:hAnsi="Arial"/>
          <w:sz w:val="21"/>
          <w:szCs w:val="21"/>
        </w:rPr>
        <w:t xml:space="preserve">Name, Geburtsjahr: </w:t>
      </w:r>
      <w:r>
        <w:rPr>
          <w:rFonts w:ascii="Arial" w:cs="Arial" w:eastAsia="Arial" w:hAnsi="Arial"/>
          <w:b/>
          <w:bCs/>
          <w:color w:val="A93C1B"/>
          <w:sz w:val="21"/>
          <w:szCs w:val="21"/>
        </w:rPr>
        <w:t xml:space="preserve">[bitte ergänzen]</w:t>
      </w:r>
      <w:r>
        <w:rPr>
          <w:rFonts w:ascii="Arial" w:cs="Arial" w:eastAsia="Arial" w:hAnsi="Arial"/>
          <w:sz w:val="21"/>
          <w:szCs w:val="21"/>
        </w:rPr>
        <w:t xml:space="preserve"/>
      </w:r>
    </w:p>
    <w:p>
      <w:pPr>
        <w:spacing w:after="120" w:line="276"/>
      </w:pPr>
      <w:r>
        <w:rPr>
          <w:rFonts w:ascii="Arial" w:cs="Arial" w:eastAsia="Arial" w:hAnsi="Arial"/>
          <w:sz w:val="21"/>
          <w:szCs w:val="21"/>
        </w:rPr>
        <w:t xml:space="preserve">Schulabschluss und Ausbildung: </w:t>
      </w:r>
      <w:r>
        <w:rPr>
          <w:rFonts w:ascii="Arial" w:cs="Arial" w:eastAsia="Arial" w:hAnsi="Arial"/>
          <w:b/>
          <w:bCs/>
          <w:color w:val="A93C1B"/>
          <w:sz w:val="21"/>
          <w:szCs w:val="21"/>
        </w:rPr>
        <w:t xml:space="preserve">[bitte ergänzen]</w:t>
      </w:r>
      <w:r>
        <w:rPr>
          <w:rFonts w:ascii="Arial" w:cs="Arial" w:eastAsia="Arial" w:hAnsi="Arial"/>
          <w:sz w:val="21"/>
          <w:szCs w:val="21"/>
        </w:rPr>
        <w:t xml:space="preserve"/>
      </w:r>
    </w:p>
    <w:p>
      <w:pPr>
        <w:spacing w:after="120" w:line="276"/>
      </w:pPr>
      <w:r>
        <w:rPr>
          <w:rFonts w:ascii="Arial" w:cs="Arial" w:eastAsia="Arial" w:hAnsi="Arial"/>
          <w:sz w:val="21"/>
          <w:szCs w:val="21"/>
        </w:rPr>
        <w:t xml:space="preserve">Beruflicher Werdegang: </w:t>
      </w:r>
      <w:r>
        <w:rPr>
          <w:rFonts w:ascii="Arial" w:cs="Arial" w:eastAsia="Arial" w:hAnsi="Arial"/>
          <w:b/>
          <w:bCs/>
          <w:color w:val="A93C1B"/>
          <w:sz w:val="21"/>
          <w:szCs w:val="21"/>
        </w:rPr>
        <w:t xml:space="preserve">[Stationen, Zeiträume, Tätigkeiten bitte ergänzen]</w:t>
      </w:r>
      <w:r>
        <w:rPr>
          <w:rFonts w:ascii="Arial" w:cs="Arial" w:eastAsia="Arial" w:hAnsi="Arial"/>
          <w:sz w:val="21"/>
          <w:szCs w:val="21"/>
        </w:rPr>
        <w:t xml:space="preserve"/>
      </w:r>
    </w:p>
    <w:p>
      <w:pPr>
        <w:spacing w:after="80"/>
      </w:pPr>
    </w:p>
    <w:p>
      <w:pPr>
        <w:pStyle w:val="Heading2"/>
        <w:spacing w:after="120" w:before="240"/>
      </w:pPr>
      <w:r>
        <w:rPr>
          <w:rFonts w:ascii="Arial" w:cs="Arial" w:eastAsia="Arial" w:hAnsi="Arial"/>
          <w:b/>
          <w:bCs/>
          <w:sz w:val="23"/>
          <w:szCs w:val="23"/>
        </w:rPr>
        <w:t xml:space="preserve">Fachliche Vorbereitung auf diese Tätigkeit</w:t>
      </w:r>
    </w:p>
    <w:p>
      <w:pPr>
        <w:spacing w:after="120" w:line="276"/>
      </w:pPr>
      <w:r>
        <w:rPr>
          <w:rFonts w:ascii="Arial" w:cs="Arial" w:eastAsia="Arial" w:hAnsi="Arial"/>
          <w:sz w:val="21"/>
          <w:szCs w:val="21"/>
        </w:rPr>
        <w:t xml:space="preserve">Zur Vorbereitung wurden folgende Grundlagen erarbeitet und dokumentiert:</w:t>
      </w:r>
    </w:p>
    <w:p>
      <w:pPr>
        <w:pStyle w:val="ListParagraph"/>
        <w:numPr>
          <w:ilvl w:val="0"/>
          <w:numId w:val="2"/>
        </w:numPr>
        <w:spacing w:after="80" w:line="276"/>
      </w:pPr>
      <w:r>
        <w:rPr>
          <w:rFonts w:ascii="Arial" w:cs="Arial" w:eastAsia="Arial" w:hAnsi="Arial"/>
          <w:sz w:val="21"/>
          <w:szCs w:val="21"/>
        </w:rPr>
        <w:t xml:space="preserve">Einarbeitung in die europäische Norm EN 16931 sowie in die Formate XRechnung und ZUGFeRD/Factur-X</w:t>
      </w:r>
    </w:p>
    <w:p>
      <w:pPr>
        <w:pStyle w:val="ListParagraph"/>
        <w:numPr>
          <w:ilvl w:val="0"/>
          <w:numId w:val="2"/>
        </w:numPr>
        <w:spacing w:after="80" w:line="276"/>
      </w:pPr>
      <w:r>
        <w:rPr>
          <w:rFonts w:ascii="Arial" w:cs="Arial" w:eastAsia="Arial" w:hAnsi="Arial"/>
          <w:sz w:val="21"/>
          <w:szCs w:val="21"/>
        </w:rPr>
        <w:t xml:space="preserve">Erstellung eines eigenen Prüfwerkzeugs, das elektronische Rechnungen einliest und lesbar darstellt; es arbeitet ausschließlich im Browser des Anwenders, sodass keine Rechnungsdaten übertragen werden</w:t>
      </w:r>
    </w:p>
    <w:p>
      <w:pPr>
        <w:pStyle w:val="ListParagraph"/>
        <w:numPr>
          <w:ilvl w:val="0"/>
          <w:numId w:val="2"/>
        </w:numPr>
        <w:spacing w:after="80" w:line="276"/>
      </w:pPr>
      <w:r>
        <w:rPr>
          <w:rFonts w:ascii="Arial" w:cs="Arial" w:eastAsia="Arial" w:hAnsi="Arial"/>
          <w:sz w:val="21"/>
          <w:szCs w:val="21"/>
        </w:rPr>
        <w:t xml:space="preserve">Systematische Erhebung, welche gängigen Rechnungsprogramme elektronische Rechnungen ausgeben können, an welcher Stelle die Funktion aktiviert wird und welche Stammdaten dafür zwingend erforderlich sind</w:t>
      </w:r>
    </w:p>
    <w:p>
      <w:pPr>
        <w:pStyle w:val="ListParagraph"/>
        <w:numPr>
          <w:ilvl w:val="0"/>
          <w:numId w:val="2"/>
        </w:numPr>
        <w:spacing w:after="80" w:line="276"/>
      </w:pPr>
      <w:r>
        <w:rPr>
          <w:rFonts w:ascii="Arial" w:cs="Arial" w:eastAsia="Arial" w:hAnsi="Arial"/>
          <w:sz w:val="21"/>
          <w:szCs w:val="21"/>
        </w:rPr>
        <w:t xml:space="preserve">Aufbau eines Fehlerkatalogs der zehn häufigsten Ursachen, aus denen elektronische Rechnungen von Empfängern zurückgewiesen werden</w:t>
      </w:r>
    </w:p>
    <w:p>
      <w:pPr>
        <w:pStyle w:val="ListParagraph"/>
        <w:numPr>
          <w:ilvl w:val="0"/>
          <w:numId w:val="2"/>
        </w:numPr>
        <w:spacing w:after="80" w:line="276"/>
      </w:pPr>
      <w:r>
        <w:rPr>
          <w:rFonts w:ascii="Arial" w:cs="Arial" w:eastAsia="Arial" w:hAnsi="Arial"/>
          <w:sz w:val="21"/>
          <w:szCs w:val="21"/>
        </w:rPr>
        <w:t xml:space="preserve">Erarbeitung eines strukturierten Ablaufs je Auftrag von der Bestandsaufnahme bis zur geprüften Testrechnung</w:t>
      </w:r>
    </w:p>
    <w:p>
      <w:pPr>
        <w:spacing w:after="80"/>
      </w:pPr>
    </w:p>
    <w:p>
      <w:pPr>
        <w:pStyle w:val="Heading2"/>
        <w:spacing w:after="120" w:before="240"/>
      </w:pPr>
      <w:r>
        <w:rPr>
          <w:rFonts w:ascii="Arial" w:cs="Arial" w:eastAsia="Arial" w:hAnsi="Arial"/>
          <w:b/>
          <w:bCs/>
          <w:sz w:val="23"/>
          <w:szCs w:val="23"/>
        </w:rPr>
        <w:t xml:space="preserve">Motivation</w:t>
      </w:r>
    </w:p>
    <w:p>
      <w:pPr>
        <w:spacing w:after="120" w:line="276"/>
      </w:pPr>
      <w:r>
        <w:rPr>
          <w:rFonts w:ascii="Arial" w:cs="Arial" w:eastAsia="Arial" w:hAnsi="Arial"/>
          <w:sz w:val="21"/>
          <w:szCs w:val="21"/>
        </w:rPr>
        <w:t xml:space="preserve">Die Tätigkeit verbindet eine erlernbare technische Leistung mit einer gesetzlich erzeugten Nachfrage und einem Kundenkreis, der persönlich erreichbar ist. Sie erfordert kein Startkapital, keine Warenlager und keine Angestellten und lässt sich vom ersten Auftrag an tragen.</w:t>
      </w:r>
    </w:p>
    <w:p>
      <w:pPr>
        <w:pStyle w:val="Heading1"/>
        <w:spacing w:after="160" w:before="360"/>
      </w:pPr>
      <w:r>
        <w:rPr>
          <w:rFonts w:ascii="Arial" w:cs="Arial" w:eastAsia="Arial" w:hAnsi="Arial"/>
          <w:b/>
          <w:bCs/>
          <w:color w:val="0E5B50"/>
          <w:sz w:val="28"/>
          <w:szCs w:val="28"/>
        </w:rPr>
        <w:t xml:space="preserve">3  Angebot</w:t>
      </w:r>
    </w:p>
    <w:p>
      <w:pPr>
        <w:spacing w:after="120" w:line="276"/>
      </w:pPr>
      <w:r>
        <w:rPr>
          <w:rFonts w:ascii="Arial" w:cs="Arial" w:eastAsia="Arial" w:hAnsi="Arial"/>
          <w:sz w:val="21"/>
          <w:szCs w:val="21"/>
        </w:rPr>
        <w:t xml:space="preserve">Die Leistung wird als abgeschlossener Auftrag zum Festpreis erbracht. Es entstehen weder Abonnements noch laufende Kosten für den Kunden.</w:t>
      </w:r>
    </w:p>
    <w:p>
      <w:pPr>
        <w:spacing w:after="80"/>
      </w:pPr>
    </w:p>
    <w:p>
      <w:pPr>
        <w:pStyle w:val="Heading2"/>
        <w:spacing w:after="120" w:before="240"/>
      </w:pPr>
      <w:r>
        <w:rPr>
          <w:rFonts w:ascii="Arial" w:cs="Arial" w:eastAsia="Arial" w:hAnsi="Arial"/>
          <w:b/>
          <w:bCs/>
          <w:sz w:val="23"/>
          <w:szCs w:val="23"/>
        </w:rPr>
        <w:t xml:space="preserve">Ablauf je Auftrag</w:t>
      </w:r>
    </w:p>
    <w:p>
      <w:pPr>
        <w:pStyle w:val="ListParagraph"/>
        <w:numPr>
          <w:ilvl w:val="0"/>
          <w:numId w:val="2"/>
        </w:numPr>
        <w:spacing w:after="80" w:line="276"/>
      </w:pPr>
      <w:r>
        <w:rPr>
          <w:rFonts w:ascii="Arial" w:cs="Arial" w:eastAsia="Arial" w:hAnsi="Arial"/>
          <w:sz w:val="21"/>
          <w:szCs w:val="21"/>
        </w:rPr>
        <w:t xml:space="preserve">Bestandsaufnahme: eingesetztes Rechnungsprogramm, Rechnungsmenge, betroffene Fristen</w:t>
      </w:r>
    </w:p>
    <w:p>
      <w:pPr>
        <w:pStyle w:val="ListParagraph"/>
        <w:numPr>
          <w:ilvl w:val="0"/>
          <w:numId w:val="2"/>
        </w:numPr>
        <w:spacing w:after="80" w:line="276"/>
      </w:pPr>
      <w:r>
        <w:rPr>
          <w:rFonts w:ascii="Arial" w:cs="Arial" w:eastAsia="Arial" w:hAnsi="Arial"/>
          <w:sz w:val="21"/>
          <w:szCs w:val="21"/>
        </w:rPr>
        <w:t xml:space="preserve">Einrichtung des Empfangswegs für eingehende elektronische Rechnungen und der zugehörigen Ablage</w:t>
      </w:r>
    </w:p>
    <w:p>
      <w:pPr>
        <w:pStyle w:val="ListParagraph"/>
        <w:numPr>
          <w:ilvl w:val="0"/>
          <w:numId w:val="2"/>
        </w:numPr>
        <w:spacing w:after="80" w:line="276"/>
      </w:pPr>
      <w:r>
        <w:rPr>
          <w:rFonts w:ascii="Arial" w:cs="Arial" w:eastAsia="Arial" w:hAnsi="Arial"/>
          <w:sz w:val="21"/>
          <w:szCs w:val="21"/>
        </w:rPr>
        <w:t xml:space="preserve">Aktivierung und Konfiguration des Versands im vorhandenen Programm</w:t>
      </w:r>
    </w:p>
    <w:p>
      <w:pPr>
        <w:pStyle w:val="ListParagraph"/>
        <w:numPr>
          <w:ilvl w:val="0"/>
          <w:numId w:val="2"/>
        </w:numPr>
        <w:spacing w:after="80" w:line="276"/>
      </w:pPr>
      <w:r>
        <w:rPr>
          <w:rFonts w:ascii="Arial" w:cs="Arial" w:eastAsia="Arial" w:hAnsi="Arial"/>
          <w:sz w:val="21"/>
          <w:szCs w:val="21"/>
        </w:rPr>
        <w:t xml:space="preserve">Prüfung der Stammdaten und der Steuerschlüssel, insbesondere bei Bauleistungen nach § 13b UStG und bei der Kleinunternehmerregelung nach § 19 UStG</w:t>
      </w:r>
    </w:p>
    <w:p>
      <w:pPr>
        <w:pStyle w:val="ListParagraph"/>
        <w:numPr>
          <w:ilvl w:val="0"/>
          <w:numId w:val="2"/>
        </w:numPr>
        <w:spacing w:after="80" w:line="276"/>
      </w:pPr>
      <w:r>
        <w:rPr>
          <w:rFonts w:ascii="Arial" w:cs="Arial" w:eastAsia="Arial" w:hAnsi="Arial"/>
          <w:sz w:val="21"/>
          <w:szCs w:val="21"/>
        </w:rPr>
        <w:t xml:space="preserve">Erzeugung einer Testrechnung und Prüfung gegen den offiziellen Validierungsdienst</w:t>
      </w:r>
    </w:p>
    <w:p>
      <w:pPr>
        <w:pStyle w:val="ListParagraph"/>
        <w:numPr>
          <w:ilvl w:val="0"/>
          <w:numId w:val="2"/>
        </w:numPr>
        <w:spacing w:after="80" w:line="276"/>
      </w:pPr>
      <w:r>
        <w:rPr>
          <w:rFonts w:ascii="Arial" w:cs="Arial" w:eastAsia="Arial" w:hAnsi="Arial"/>
          <w:sz w:val="21"/>
          <w:szCs w:val="21"/>
        </w:rPr>
        <w:t xml:space="preserve">Übergabe einer einseitigen Anleitung für das Büro des Betriebs</w:t>
      </w:r>
    </w:p>
    <w:p>
      <w:pPr>
        <w:spacing w:after="120"/>
      </w:pPr>
    </w:p>
    <w:p>
      <w:pPr>
        <w:pStyle w:val="Heading2"/>
        <w:spacing w:after="120" w:before="240"/>
      </w:pPr>
      <w:r>
        <w:rPr>
          <w:rFonts w:ascii="Arial" w:cs="Arial" w:eastAsia="Arial" w:hAnsi="Arial"/>
          <w:b/>
          <w:bCs/>
          <w:sz w:val="23"/>
          <w:szCs w:val="23"/>
        </w:rPr>
        <w:t xml:space="preserve">Leistungspakete und Preise</w:t>
      </w:r>
    </w:p>
    <w:tbl>
      <w:tblPr>
        <w:tblW w:type="dxa" w:w="9070"/>
        <w:tblBorders>
          <w:top w:val="single" w:color="C9C7BE" w:sz="2"/>
          <w:left w:val="single" w:color="C9C7BE" w:sz="2"/>
          <w:bottom w:val="single" w:color="C9C7BE" w:sz="2"/>
          <w:right w:val="single" w:color="C9C7BE" w:sz="2"/>
          <w:insideH w:val="single" w:color="C9C7BE" w:sz="2"/>
          <w:insideV w:val="single" w:color="C9C7BE" w:sz="2"/>
        </w:tblBorders>
      </w:tblPr>
      <w:tblGrid>
        <w:gridCol w:w="3000"/>
        <w:gridCol w:w="3670"/>
        <w:gridCol w:w="2400"/>
      </w:tblGrid>
      <w:tr>
        <w:trPr>
          <w:tblHeader/>
        </w:trPr>
        <w:tc>
          <w:tcPr>
            <w:tcW w:type="dxa" w:w="3000"/>
            <w:shd w:fill="0E5B50" w:color="auto" w:val="clear"/>
            <w:tcMar>
              <w:top w:type="dxa" w:w="80"/>
              <w:left w:type="dxa" w:w="110"/>
              <w:bottom w:type="dxa" w:w="80"/>
              <w:right w:type="dxa" w:w="110"/>
            </w:tcMar>
          </w:tcPr>
          <w:p>
            <w:pPr>
              <w:spacing w:after="0" w:line="260"/>
              <w:jc w:val="left"/>
            </w:pPr>
            <w:r>
              <w:rPr>
                <w:rFonts w:ascii="Arial" w:cs="Arial" w:eastAsia="Arial" w:hAnsi="Arial"/>
                <w:b/>
                <w:bCs/>
                <w:color w:val="FFFFFF"/>
                <w:sz w:val="19"/>
                <w:szCs w:val="19"/>
              </w:rPr>
              <w:t xml:space="preserve">Paket</w:t>
            </w:r>
          </w:p>
        </w:tc>
        <w:tc>
          <w:tcPr>
            <w:tcW w:type="dxa" w:w="3670"/>
            <w:shd w:fill="0E5B50" w:color="auto" w:val="clear"/>
            <w:tcMar>
              <w:top w:type="dxa" w:w="80"/>
              <w:left w:type="dxa" w:w="110"/>
              <w:bottom w:type="dxa" w:w="80"/>
              <w:right w:type="dxa" w:w="110"/>
            </w:tcMar>
          </w:tcPr>
          <w:p>
            <w:pPr>
              <w:spacing w:after="0" w:line="260"/>
              <w:jc w:val="left"/>
            </w:pPr>
            <w:r>
              <w:rPr>
                <w:rFonts w:ascii="Arial" w:cs="Arial" w:eastAsia="Arial" w:hAnsi="Arial"/>
                <w:b/>
                <w:bCs/>
                <w:color w:val="FFFFFF"/>
                <w:sz w:val="19"/>
                <w:szCs w:val="19"/>
              </w:rPr>
              <w:t xml:space="preserve">Für wen</w:t>
            </w:r>
          </w:p>
        </w:tc>
        <w:tc>
          <w:tcPr>
            <w:tcW w:type="dxa" w:w="2400"/>
            <w:shd w:fill="0E5B50" w:color="auto" w:val="clear"/>
            <w:tcMar>
              <w:top w:type="dxa" w:w="80"/>
              <w:left w:type="dxa" w:w="110"/>
              <w:bottom w:type="dxa" w:w="80"/>
              <w:right w:type="dxa" w:w="110"/>
            </w:tcMar>
          </w:tcPr>
          <w:p>
            <w:pPr>
              <w:spacing w:after="0" w:line="260"/>
              <w:jc w:val="left"/>
            </w:pPr>
            <w:r>
              <w:rPr>
                <w:rFonts w:ascii="Arial" w:cs="Arial" w:eastAsia="Arial" w:hAnsi="Arial"/>
                <w:b/>
                <w:bCs/>
                <w:color w:val="FFFFFF"/>
                <w:sz w:val="19"/>
                <w:szCs w:val="19"/>
              </w:rPr>
              <w:t xml:space="preserve">Festpreis</w:t>
            </w:r>
          </w:p>
        </w:tc>
      </w:tr>
      <w:tr>
        <w:tc>
          <w:tcPr>
            <w:tcW w:type="dxa" w:w="3000"/>
            <w:tcMar>
              <w:top w:type="dxa" w:w="80"/>
              <w:left w:type="dxa" w:w="110"/>
              <w:bottom w:type="dxa" w:w="80"/>
              <w:right w:type="dxa" w:w="110"/>
            </w:tcMar>
          </w:tcPr>
          <w:p>
            <w:pPr>
              <w:spacing w:after="0" w:line="260"/>
              <w:jc w:val="left"/>
            </w:pPr>
            <w:r>
              <w:rPr>
                <w:rFonts w:ascii="Arial" w:cs="Arial" w:eastAsia="Arial" w:hAnsi="Arial"/>
                <w:b/>
                <w:bCs/>
                <w:sz w:val="20"/>
                <w:szCs w:val="20"/>
              </w:rPr>
              <w:t xml:space="preserve">Einrichtung Standard</w:t>
            </w:r>
          </w:p>
        </w:tc>
        <w:tc>
          <w:tcPr>
            <w:tcW w:type="dxa" w:w="367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Betrieb mit gängigem Rechnungsprogramm</w:t>
            </w:r>
          </w:p>
        </w:tc>
        <w:tc>
          <w:tcPr>
            <w:tcW w:type="dxa" w:w="240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450 – 650 €</w:t>
            </w:r>
          </w:p>
        </w:tc>
      </w:tr>
      <w:tr>
        <w:tc>
          <w:tcPr>
            <w:tcW w:type="dxa" w:w="3000"/>
            <w:tcMar>
              <w:top w:type="dxa" w:w="80"/>
              <w:left w:type="dxa" w:w="110"/>
              <w:bottom w:type="dxa" w:w="80"/>
              <w:right w:type="dxa" w:w="110"/>
            </w:tcMar>
          </w:tcPr>
          <w:p>
            <w:pPr>
              <w:spacing w:after="0" w:line="260"/>
              <w:jc w:val="left"/>
            </w:pPr>
            <w:r>
              <w:rPr>
                <w:rFonts w:ascii="Arial" w:cs="Arial" w:eastAsia="Arial" w:hAnsi="Arial"/>
                <w:b/>
                <w:bCs/>
                <w:sz w:val="20"/>
                <w:szCs w:val="20"/>
              </w:rPr>
              <w:t xml:space="preserve">Umstieg</w:t>
            </w:r>
          </w:p>
        </w:tc>
        <w:tc>
          <w:tcPr>
            <w:tcW w:type="dxa" w:w="367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Betrieb ohne Rechnungsprogramm, bisher Word oder Excel</w:t>
            </w:r>
          </w:p>
        </w:tc>
        <w:tc>
          <w:tcPr>
            <w:tcW w:type="dxa" w:w="240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900 – 1.400 €</w:t>
            </w:r>
          </w:p>
        </w:tc>
      </w:tr>
      <w:tr>
        <w:tc>
          <w:tcPr>
            <w:tcW w:type="dxa" w:w="3000"/>
            <w:tcMar>
              <w:top w:type="dxa" w:w="80"/>
              <w:left w:type="dxa" w:w="110"/>
              <w:bottom w:type="dxa" w:w="80"/>
              <w:right w:type="dxa" w:w="110"/>
            </w:tcMar>
          </w:tcPr>
          <w:p>
            <w:pPr>
              <w:spacing w:after="0" w:line="260"/>
              <w:jc w:val="left"/>
            </w:pPr>
            <w:r>
              <w:rPr>
                <w:rFonts w:ascii="Arial" w:cs="Arial" w:eastAsia="Arial" w:hAnsi="Arial"/>
                <w:b/>
                <w:bCs/>
                <w:sz w:val="20"/>
                <w:szCs w:val="20"/>
              </w:rPr>
              <w:t xml:space="preserve">Nur Empfang</w:t>
            </w:r>
          </w:p>
        </w:tc>
        <w:tc>
          <w:tcPr>
            <w:tcW w:type="dxa" w:w="367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Kleinunternehmer nach § 19 UStG, dauerhaft vom Versand befreit</w:t>
            </w:r>
          </w:p>
        </w:tc>
        <w:tc>
          <w:tcPr>
            <w:tcW w:type="dxa" w:w="240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190 – 290 €</w:t>
            </w:r>
          </w:p>
        </w:tc>
      </w:tr>
      <w:tr>
        <w:tc>
          <w:tcPr>
            <w:tcW w:type="dxa" w:w="3000"/>
            <w:tcMar>
              <w:top w:type="dxa" w:w="80"/>
              <w:left w:type="dxa" w:w="110"/>
              <w:bottom w:type="dxa" w:w="80"/>
              <w:right w:type="dxa" w:w="110"/>
            </w:tcMar>
          </w:tcPr>
          <w:p>
            <w:pPr>
              <w:spacing w:after="0" w:line="260"/>
              <w:jc w:val="left"/>
            </w:pPr>
            <w:r>
              <w:rPr>
                <w:rFonts w:ascii="Arial" w:cs="Arial" w:eastAsia="Arial" w:hAnsi="Arial"/>
                <w:b/>
                <w:bCs/>
                <w:sz w:val="20"/>
                <w:szCs w:val="20"/>
              </w:rPr>
              <w:t xml:space="preserve">Datenbereinigung</w:t>
            </w:r>
          </w:p>
        </w:tc>
        <w:tc>
          <w:tcPr>
            <w:tcW w:type="dxa" w:w="367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Zusatzleistung bei unbrauchbaren Altdaten</w:t>
            </w:r>
          </w:p>
        </w:tc>
        <w:tc>
          <w:tcPr>
            <w:tcW w:type="dxa" w:w="240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nach Aufwand</w:t>
            </w:r>
          </w:p>
        </w:tc>
      </w:tr>
    </w:tbl>
    <w:p>
      <w:pPr>
        <w:spacing w:after="120"/>
      </w:pPr>
    </w:p>
    <w:p>
      <w:pPr>
        <w:spacing w:after="120" w:line="276"/>
      </w:pPr>
      <w:r>
        <w:rPr>
          <w:rFonts w:ascii="Arial" w:cs="Arial" w:eastAsia="Arial" w:hAnsi="Arial"/>
          <w:i/>
          <w:iCs/>
          <w:color w:val="444444"/>
          <w:sz w:val="21"/>
          <w:szCs w:val="21"/>
        </w:rPr>
        <w:t xml:space="preserve">In der Kalkulation wird durchgehend mit einem vorsichtig angesetzten Durchschnittserlös von 600 Euro je Auftrag gerechnet.</w:t>
      </w:r>
    </w:p>
    <w:p>
      <w:r>
        <w:br w:type="page"/>
      </w:r>
    </w:p>
    <w:p>
      <w:pPr>
        <w:pStyle w:val="Heading1"/>
        <w:spacing w:after="160" w:before="360"/>
      </w:pPr>
      <w:r>
        <w:rPr>
          <w:rFonts w:ascii="Arial" w:cs="Arial" w:eastAsia="Arial" w:hAnsi="Arial"/>
          <w:b/>
          <w:bCs/>
          <w:color w:val="0E5B50"/>
          <w:sz w:val="28"/>
          <w:szCs w:val="28"/>
        </w:rPr>
        <w:t xml:space="preserve">4  Markt und gesetzlicher Rahmen</w:t>
      </w:r>
    </w:p>
    <w:tbl>
      <w:tblPr>
        <w:tblW w:type="dxa" w:w="9070"/>
        <w:tblBorders>
          <w:top w:val="single" w:color="C9C7BE" w:sz="2"/>
          <w:left w:val="single" w:color="C9C7BE" w:sz="2"/>
          <w:bottom w:val="single" w:color="C9C7BE" w:sz="2"/>
          <w:right w:val="single" w:color="C9C7BE" w:sz="2"/>
          <w:insideH w:val="single" w:color="C9C7BE" w:sz="2"/>
          <w:insideV w:val="single" w:color="C9C7BE" w:sz="2"/>
        </w:tblBorders>
      </w:tblPr>
      <w:tblGrid>
        <w:gridCol w:w="2400"/>
        <w:gridCol w:w="3200"/>
        <w:gridCol w:w="3470"/>
      </w:tblGrid>
      <w:tr>
        <w:trPr>
          <w:tblHeader/>
        </w:trPr>
        <w:tc>
          <w:tcPr>
            <w:tcW w:type="dxa" w:w="2400"/>
            <w:shd w:fill="0E5B50" w:color="auto" w:val="clear"/>
            <w:tcMar>
              <w:top w:type="dxa" w:w="80"/>
              <w:left w:type="dxa" w:w="110"/>
              <w:bottom w:type="dxa" w:w="80"/>
              <w:right w:type="dxa" w:w="110"/>
            </w:tcMar>
          </w:tcPr>
          <w:p>
            <w:pPr>
              <w:spacing w:after="0" w:line="260"/>
              <w:jc w:val="left"/>
            </w:pPr>
            <w:r>
              <w:rPr>
                <w:rFonts w:ascii="Arial" w:cs="Arial" w:eastAsia="Arial" w:hAnsi="Arial"/>
                <w:b/>
                <w:bCs/>
                <w:color w:val="FFFFFF"/>
                <w:sz w:val="19"/>
                <w:szCs w:val="19"/>
              </w:rPr>
              <w:t xml:space="preserve">Ab wann</w:t>
            </w:r>
          </w:p>
        </w:tc>
        <w:tc>
          <w:tcPr>
            <w:tcW w:type="dxa" w:w="3200"/>
            <w:shd w:fill="0E5B50" w:color="auto" w:val="clear"/>
            <w:tcMar>
              <w:top w:type="dxa" w:w="80"/>
              <w:left w:type="dxa" w:w="110"/>
              <w:bottom w:type="dxa" w:w="80"/>
              <w:right w:type="dxa" w:w="110"/>
            </w:tcMar>
          </w:tcPr>
          <w:p>
            <w:pPr>
              <w:spacing w:after="0" w:line="260"/>
              <w:jc w:val="left"/>
            </w:pPr>
            <w:r>
              <w:rPr>
                <w:rFonts w:ascii="Arial" w:cs="Arial" w:eastAsia="Arial" w:hAnsi="Arial"/>
                <w:b/>
                <w:bCs/>
                <w:color w:val="FFFFFF"/>
                <w:sz w:val="19"/>
                <w:szCs w:val="19"/>
              </w:rPr>
              <w:t xml:space="preserve">Wen es betrifft</w:t>
            </w:r>
          </w:p>
        </w:tc>
        <w:tc>
          <w:tcPr>
            <w:tcW w:type="dxa" w:w="3470"/>
            <w:shd w:fill="0E5B50" w:color="auto" w:val="clear"/>
            <w:tcMar>
              <w:top w:type="dxa" w:w="80"/>
              <w:left w:type="dxa" w:w="110"/>
              <w:bottom w:type="dxa" w:w="80"/>
              <w:right w:type="dxa" w:w="110"/>
            </w:tcMar>
          </w:tcPr>
          <w:p>
            <w:pPr>
              <w:spacing w:after="0" w:line="260"/>
              <w:jc w:val="left"/>
            </w:pPr>
            <w:r>
              <w:rPr>
                <w:rFonts w:ascii="Arial" w:cs="Arial" w:eastAsia="Arial" w:hAnsi="Arial"/>
                <w:b/>
                <w:bCs/>
                <w:color w:val="FFFFFF"/>
                <w:sz w:val="19"/>
                <w:szCs w:val="19"/>
              </w:rPr>
              <w:t xml:space="preserve">Welche Pflicht</w:t>
            </w:r>
          </w:p>
        </w:tc>
      </w:tr>
      <w:tr>
        <w:tc>
          <w:tcPr>
            <w:tcW w:type="dxa" w:w="2400"/>
            <w:tcMar>
              <w:top w:type="dxa" w:w="80"/>
              <w:left w:type="dxa" w:w="110"/>
              <w:bottom w:type="dxa" w:w="80"/>
              <w:right w:type="dxa" w:w="110"/>
            </w:tcMar>
          </w:tcPr>
          <w:p>
            <w:pPr>
              <w:spacing w:after="0" w:line="260"/>
              <w:jc w:val="left"/>
            </w:pPr>
            <w:r>
              <w:rPr>
                <w:rFonts w:ascii="Arial" w:cs="Arial" w:eastAsia="Arial" w:hAnsi="Arial"/>
                <w:b/>
                <w:bCs/>
                <w:sz w:val="20"/>
                <w:szCs w:val="20"/>
              </w:rPr>
              <w:t xml:space="preserve">seit 01.01.2025</w:t>
            </w:r>
          </w:p>
        </w:tc>
        <w:tc>
          <w:tcPr>
            <w:tcW w:type="dxa" w:w="320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jedes inländische Unternehmen</w:t>
            </w:r>
          </w:p>
        </w:tc>
        <w:tc>
          <w:tcPr>
            <w:tcW w:type="dxa" w:w="347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E-Rechnungen empfangen und verarbeiten können</w:t>
            </w:r>
          </w:p>
        </w:tc>
      </w:tr>
      <w:tr>
        <w:tc>
          <w:tcPr>
            <w:tcW w:type="dxa" w:w="2400"/>
            <w:tcMar>
              <w:top w:type="dxa" w:w="80"/>
              <w:left w:type="dxa" w:w="110"/>
              <w:bottom w:type="dxa" w:w="80"/>
              <w:right w:type="dxa" w:w="110"/>
            </w:tcMar>
          </w:tcPr>
          <w:p>
            <w:pPr>
              <w:spacing w:after="0" w:line="260"/>
              <w:jc w:val="left"/>
            </w:pPr>
            <w:r>
              <w:rPr>
                <w:rFonts w:ascii="Arial" w:cs="Arial" w:eastAsia="Arial" w:hAnsi="Arial"/>
                <w:b/>
                <w:bCs/>
                <w:sz w:val="20"/>
                <w:szCs w:val="20"/>
              </w:rPr>
              <w:t xml:space="preserve">ab 01.01.2027</w:t>
            </w:r>
          </w:p>
        </w:tc>
        <w:tc>
          <w:tcPr>
            <w:tcW w:type="dxa" w:w="320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über 800.000 € Vorjahresumsatz</w:t>
            </w:r>
          </w:p>
        </w:tc>
        <w:tc>
          <w:tcPr>
            <w:tcW w:type="dxa" w:w="347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E-Rechnungen ausstellen</w:t>
            </w:r>
          </w:p>
        </w:tc>
      </w:tr>
      <w:tr>
        <w:tc>
          <w:tcPr>
            <w:tcW w:type="dxa" w:w="2400"/>
            <w:tcMar>
              <w:top w:type="dxa" w:w="80"/>
              <w:left w:type="dxa" w:w="110"/>
              <w:bottom w:type="dxa" w:w="80"/>
              <w:right w:type="dxa" w:w="110"/>
            </w:tcMar>
          </w:tcPr>
          <w:p>
            <w:pPr>
              <w:spacing w:after="0" w:line="260"/>
              <w:jc w:val="left"/>
            </w:pPr>
            <w:r>
              <w:rPr>
                <w:rFonts w:ascii="Arial" w:cs="Arial" w:eastAsia="Arial" w:hAnsi="Arial"/>
                <w:b/>
                <w:bCs/>
                <w:sz w:val="20"/>
                <w:szCs w:val="20"/>
              </w:rPr>
              <w:t xml:space="preserve">ab 01.01.2028</w:t>
            </w:r>
          </w:p>
        </w:tc>
        <w:tc>
          <w:tcPr>
            <w:tcW w:type="dxa" w:w="320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alle übrigen Unternehmen</w:t>
            </w:r>
          </w:p>
        </w:tc>
        <w:tc>
          <w:tcPr>
            <w:tcW w:type="dxa" w:w="347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E-Rechnungen ausstellen</w:t>
            </w:r>
          </w:p>
        </w:tc>
      </w:tr>
    </w:tbl>
    <w:p>
      <w:pPr>
        <w:spacing w:after="140"/>
      </w:pPr>
    </w:p>
    <w:p>
      <w:pPr>
        <w:spacing w:after="120" w:line="276"/>
      </w:pPr>
      <w:r>
        <w:rPr>
          <w:rFonts w:ascii="Arial" w:cs="Arial" w:eastAsia="Arial" w:hAnsi="Arial"/>
          <w:sz w:val="21"/>
          <w:szCs w:val="21"/>
        </w:rPr>
        <w:t xml:space="preserve">Ausgenommen sind Kleinbetragsrechnungen bis 250 Euro brutto, Rechnungen an Privatpersonen sowie bestimmte nach § 4 UStG steuerfreie Umsätze. Kleinunternehmer nach § 19 UStG sind vom Ausstellen dauerhaft befreit, von der Empfangspflicht jedoch nicht.</w:t>
      </w:r>
    </w:p>
    <w:p>
      <w:pPr>
        <w:spacing w:after="120" w:line="276"/>
      </w:pPr>
      <w:r>
        <w:rPr>
          <w:rFonts w:ascii="Arial" w:cs="Arial" w:eastAsia="Arial" w:hAnsi="Arial"/>
          <w:sz w:val="21"/>
          <w:szCs w:val="21"/>
        </w:rPr>
        <w:t xml:space="preserve">Für den Markt bedeutet das: Die Nachfrage entsteht nicht durch Überzeugung, sondern durch eine Frist. Sie steigt bis Ende 2027 an und erreicht 2028 ihren Höhepunkt.</w:t>
      </w:r>
    </w:p>
    <w:p>
      <w:pPr>
        <w:spacing w:after="80"/>
      </w:pPr>
    </w:p>
    <w:p>
      <w:pPr>
        <w:pStyle w:val="Heading2"/>
        <w:spacing w:after="120" w:before="240"/>
      </w:pPr>
      <w:r>
        <w:rPr>
          <w:rFonts w:ascii="Arial" w:cs="Arial" w:eastAsia="Arial" w:hAnsi="Arial"/>
          <w:b/>
          <w:bCs/>
          <w:sz w:val="23"/>
          <w:szCs w:val="23"/>
        </w:rPr>
        <w:t xml:space="preserve">Zielgruppe</w:t>
      </w:r>
    </w:p>
    <w:p>
      <w:pPr>
        <w:pStyle w:val="ListParagraph"/>
        <w:numPr>
          <w:ilvl w:val="0"/>
          <w:numId w:val="2"/>
        </w:numPr>
        <w:spacing w:after="80" w:line="276"/>
      </w:pPr>
      <w:r>
        <w:rPr>
          <w:rFonts w:ascii="Arial" w:cs="Arial" w:eastAsia="Arial" w:hAnsi="Arial"/>
          <w:sz w:val="21"/>
          <w:szCs w:val="21"/>
        </w:rPr>
        <w:t xml:space="preserve">Handwerks- und Baubetriebe mit etwa 3 bis 30 Beschäftigten und einem Umsatz unterhalb von 800.000 Euro</w:t>
      </w:r>
    </w:p>
    <w:p>
      <w:pPr>
        <w:pStyle w:val="ListParagraph"/>
        <w:numPr>
          <w:ilvl w:val="0"/>
          <w:numId w:val="2"/>
        </w:numPr>
        <w:spacing w:after="80" w:line="276"/>
      </w:pPr>
      <w:r>
        <w:rPr>
          <w:rFonts w:ascii="Arial" w:cs="Arial" w:eastAsia="Arial" w:hAnsi="Arial"/>
          <w:sz w:val="21"/>
          <w:szCs w:val="21"/>
        </w:rPr>
        <w:t xml:space="preserve">Betriebe, die ihre Rechnungen selbst schreiben und kein Warenwirtschaftssystem einsetzen</w:t>
      </w:r>
    </w:p>
    <w:p>
      <w:pPr>
        <w:pStyle w:val="ListParagraph"/>
        <w:numPr>
          <w:ilvl w:val="0"/>
          <w:numId w:val="2"/>
        </w:numPr>
        <w:spacing w:after="80" w:line="276"/>
      </w:pPr>
      <w:r>
        <w:rPr>
          <w:rFonts w:ascii="Arial" w:cs="Arial" w:eastAsia="Arial" w:hAnsi="Arial"/>
          <w:sz w:val="21"/>
          <w:szCs w:val="21"/>
        </w:rPr>
        <w:t xml:space="preserve">Besonders betroffen: Betriebe, die Bauleistungen nach § 13b UStG abrechnen</w:t>
      </w:r>
    </w:p>
    <w:p>
      <w:pPr>
        <w:spacing w:after="80"/>
      </w:pPr>
    </w:p>
    <w:p>
      <w:pPr>
        <w:pStyle w:val="Heading2"/>
        <w:spacing w:after="120" w:before="240"/>
      </w:pPr>
      <w:r>
        <w:rPr>
          <w:rFonts w:ascii="Arial" w:cs="Arial" w:eastAsia="Arial" w:hAnsi="Arial"/>
          <w:b/>
          <w:bCs/>
          <w:sz w:val="23"/>
          <w:szCs w:val="23"/>
        </w:rPr>
        <w:t xml:space="preserve">Wettbewerb</w:t>
      </w:r>
    </w:p>
    <w:tbl>
      <w:tblPr>
        <w:tblW w:type="dxa" w:w="9070"/>
        <w:tblBorders>
          <w:top w:val="single" w:color="C9C7BE" w:sz="2"/>
          <w:left w:val="single" w:color="C9C7BE" w:sz="2"/>
          <w:bottom w:val="single" w:color="C9C7BE" w:sz="2"/>
          <w:right w:val="single" w:color="C9C7BE" w:sz="2"/>
          <w:insideH w:val="single" w:color="C9C7BE" w:sz="2"/>
          <w:insideV w:val="single" w:color="C9C7BE" w:sz="2"/>
        </w:tblBorders>
      </w:tblPr>
      <w:tblGrid>
        <w:gridCol w:w="2900"/>
        <w:gridCol w:w="3200"/>
        <w:gridCol w:w="2970"/>
      </w:tblGrid>
      <w:tr>
        <w:trPr>
          <w:tblHeader/>
        </w:trPr>
        <w:tc>
          <w:tcPr>
            <w:tcW w:type="dxa" w:w="2900"/>
            <w:shd w:fill="0E5B50" w:color="auto" w:val="clear"/>
            <w:tcMar>
              <w:top w:type="dxa" w:w="80"/>
              <w:left w:type="dxa" w:w="110"/>
              <w:bottom w:type="dxa" w:w="80"/>
              <w:right w:type="dxa" w:w="110"/>
            </w:tcMar>
          </w:tcPr>
          <w:p>
            <w:pPr>
              <w:spacing w:after="0" w:line="260"/>
              <w:jc w:val="left"/>
            </w:pPr>
            <w:r>
              <w:rPr>
                <w:rFonts w:ascii="Arial" w:cs="Arial" w:eastAsia="Arial" w:hAnsi="Arial"/>
                <w:b/>
                <w:bCs/>
                <w:color w:val="FFFFFF"/>
                <w:sz w:val="19"/>
                <w:szCs w:val="19"/>
              </w:rPr>
              <w:t xml:space="preserve">Anbieter</w:t>
            </w:r>
          </w:p>
        </w:tc>
        <w:tc>
          <w:tcPr>
            <w:tcW w:type="dxa" w:w="3200"/>
            <w:shd w:fill="0E5B50" w:color="auto" w:val="clear"/>
            <w:tcMar>
              <w:top w:type="dxa" w:w="80"/>
              <w:left w:type="dxa" w:w="110"/>
              <w:bottom w:type="dxa" w:w="80"/>
              <w:right w:type="dxa" w:w="110"/>
            </w:tcMar>
          </w:tcPr>
          <w:p>
            <w:pPr>
              <w:spacing w:after="0" w:line="260"/>
              <w:jc w:val="left"/>
            </w:pPr>
            <w:r>
              <w:rPr>
                <w:rFonts w:ascii="Arial" w:cs="Arial" w:eastAsia="Arial" w:hAnsi="Arial"/>
                <w:b/>
                <w:bCs/>
                <w:color w:val="FFFFFF"/>
                <w:sz w:val="19"/>
                <w:szCs w:val="19"/>
              </w:rPr>
              <w:t xml:space="preserve">Was er tut</w:t>
            </w:r>
          </w:p>
        </w:tc>
        <w:tc>
          <w:tcPr>
            <w:tcW w:type="dxa" w:w="2970"/>
            <w:shd w:fill="0E5B50" w:color="auto" w:val="clear"/>
            <w:tcMar>
              <w:top w:type="dxa" w:w="80"/>
              <w:left w:type="dxa" w:w="110"/>
              <w:bottom w:type="dxa" w:w="80"/>
              <w:right w:type="dxa" w:w="110"/>
            </w:tcMar>
          </w:tcPr>
          <w:p>
            <w:pPr>
              <w:spacing w:after="0" w:line="260"/>
              <w:jc w:val="left"/>
            </w:pPr>
            <w:r>
              <w:rPr>
                <w:rFonts w:ascii="Arial" w:cs="Arial" w:eastAsia="Arial" w:hAnsi="Arial"/>
                <w:b/>
                <w:bCs/>
                <w:color w:val="FFFFFF"/>
                <w:sz w:val="19"/>
                <w:szCs w:val="19"/>
              </w:rPr>
              <w:t xml:space="preserve">Abgrenzung</w:t>
            </w:r>
          </w:p>
        </w:tc>
      </w:tr>
      <w:tr>
        <w:tc>
          <w:tcPr>
            <w:tcW w:type="dxa" w:w="2900"/>
            <w:tcMar>
              <w:top w:type="dxa" w:w="80"/>
              <w:left w:type="dxa" w:w="110"/>
              <w:bottom w:type="dxa" w:w="80"/>
              <w:right w:type="dxa" w:w="110"/>
            </w:tcMar>
          </w:tcPr>
          <w:p>
            <w:pPr>
              <w:spacing w:after="0" w:line="260"/>
              <w:jc w:val="left"/>
            </w:pPr>
            <w:r>
              <w:rPr>
                <w:rFonts w:ascii="Arial" w:cs="Arial" w:eastAsia="Arial" w:hAnsi="Arial"/>
                <w:b/>
                <w:bCs/>
                <w:sz w:val="20"/>
                <w:szCs w:val="20"/>
              </w:rPr>
              <w:t xml:space="preserve">Steuerkanzleien</w:t>
            </w:r>
          </w:p>
        </w:tc>
        <w:tc>
          <w:tcPr>
            <w:tcW w:type="dxa" w:w="320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Buchhaltung und steuerliche Beurteilung</w:t>
            </w:r>
          </w:p>
        </w:tc>
        <w:tc>
          <w:tcPr>
            <w:tcW w:type="dxa" w:w="297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richten keine Software im Betrieb ein; sind Empfehlungsgeber, nicht Wettbewerber</w:t>
            </w:r>
          </w:p>
        </w:tc>
      </w:tr>
      <w:tr>
        <w:tc>
          <w:tcPr>
            <w:tcW w:type="dxa" w:w="2900"/>
            <w:tcMar>
              <w:top w:type="dxa" w:w="80"/>
              <w:left w:type="dxa" w:w="110"/>
              <w:bottom w:type="dxa" w:w="80"/>
              <w:right w:type="dxa" w:w="110"/>
            </w:tcMar>
          </w:tcPr>
          <w:p>
            <w:pPr>
              <w:spacing w:after="0" w:line="260"/>
              <w:jc w:val="left"/>
            </w:pPr>
            <w:r>
              <w:rPr>
                <w:rFonts w:ascii="Arial" w:cs="Arial" w:eastAsia="Arial" w:hAnsi="Arial"/>
                <w:b/>
                <w:bCs/>
                <w:sz w:val="20"/>
                <w:szCs w:val="20"/>
              </w:rPr>
              <w:t xml:space="preserve">Softwarehersteller</w:t>
            </w:r>
          </w:p>
        </w:tc>
        <w:tc>
          <w:tcPr>
            <w:tcW w:type="dxa" w:w="320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liefern die Funktion im Programm</w:t>
            </w:r>
          </w:p>
        </w:tc>
        <w:tc>
          <w:tcPr>
            <w:tcW w:type="dxa" w:w="297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unterstützen nicht bei der Einrichtung vor Ort</w:t>
            </w:r>
          </w:p>
        </w:tc>
      </w:tr>
      <w:tr>
        <w:tc>
          <w:tcPr>
            <w:tcW w:type="dxa" w:w="2900"/>
            <w:tcMar>
              <w:top w:type="dxa" w:w="80"/>
              <w:left w:type="dxa" w:w="110"/>
              <w:bottom w:type="dxa" w:w="80"/>
              <w:right w:type="dxa" w:w="110"/>
            </w:tcMar>
          </w:tcPr>
          <w:p>
            <w:pPr>
              <w:spacing w:after="0" w:line="260"/>
              <w:jc w:val="left"/>
            </w:pPr>
            <w:r>
              <w:rPr>
                <w:rFonts w:ascii="Arial" w:cs="Arial" w:eastAsia="Arial" w:hAnsi="Arial"/>
                <w:b/>
                <w:bCs/>
                <w:sz w:val="20"/>
                <w:szCs w:val="20"/>
              </w:rPr>
              <w:t xml:space="preserve">IT-Dienstleister</w:t>
            </w:r>
          </w:p>
        </w:tc>
        <w:tc>
          <w:tcPr>
            <w:tcW w:type="dxa" w:w="320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allgemeine EDV-Betreuung</w:t>
            </w:r>
          </w:p>
        </w:tc>
        <w:tc>
          <w:tcPr>
            <w:tcW w:type="dxa" w:w="297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kennen die Anforderungen der Norm meist nicht im Detail</w:t>
            </w:r>
          </w:p>
        </w:tc>
      </w:tr>
      <w:tr>
        <w:tc>
          <w:tcPr>
            <w:tcW w:type="dxa" w:w="2900"/>
            <w:tcMar>
              <w:top w:type="dxa" w:w="80"/>
              <w:left w:type="dxa" w:w="110"/>
              <w:bottom w:type="dxa" w:w="80"/>
              <w:right w:type="dxa" w:w="110"/>
            </w:tcMar>
          </w:tcPr>
          <w:p>
            <w:pPr>
              <w:spacing w:after="0" w:line="260"/>
              <w:jc w:val="left"/>
            </w:pPr>
            <w:r>
              <w:rPr>
                <w:rFonts w:ascii="Arial" w:cs="Arial" w:eastAsia="Arial" w:hAnsi="Arial"/>
                <w:b/>
                <w:bCs/>
                <w:sz w:val="20"/>
                <w:szCs w:val="20"/>
              </w:rPr>
              <w:t xml:space="preserve">Anbieter von Zusatzsoftware</w:t>
            </w:r>
          </w:p>
        </w:tc>
        <w:tc>
          <w:tcPr>
            <w:tcW w:type="dxa" w:w="320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Programme zur Rechnungserstellung</w:t>
            </w:r>
          </w:p>
        </w:tc>
        <w:tc>
          <w:tcPr>
            <w:tcW w:type="dxa" w:w="297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verkaufen ein Produkt, keine Einrichtung</w:t>
            </w:r>
          </w:p>
        </w:tc>
      </w:tr>
    </w:tbl>
    <w:p>
      <w:pPr>
        <w:spacing w:after="140"/>
      </w:pPr>
    </w:p>
    <w:p>
      <w:pPr>
        <w:spacing w:after="120" w:line="276"/>
      </w:pPr>
      <w:r>
        <w:rPr>
          <w:rFonts w:ascii="Arial" w:cs="Arial" w:eastAsia="Arial" w:hAnsi="Arial"/>
          <w:sz w:val="21"/>
          <w:szCs w:val="21"/>
        </w:rPr>
        <w:t xml:space="preserve">Der Wettbewerbsvorteil liegt in der Verbindung aus Fachkenntnis der Norm, persönlicher Erreichbarkeit vor Ort und einem Festpreis ohne Folgekosten.</w:t>
      </w:r>
    </w:p>
    <w:p>
      <w:pPr>
        <w:pStyle w:val="Heading1"/>
        <w:spacing w:after="160" w:before="360"/>
      </w:pPr>
      <w:r>
        <w:rPr>
          <w:rFonts w:ascii="Arial" w:cs="Arial" w:eastAsia="Arial" w:hAnsi="Arial"/>
          <w:b/>
          <w:bCs/>
          <w:color w:val="0E5B50"/>
          <w:sz w:val="28"/>
          <w:szCs w:val="28"/>
        </w:rPr>
        <w:t xml:space="preserve">5  Vertriebswege</w:t>
      </w:r>
    </w:p>
    <w:p>
      <w:pPr>
        <w:pStyle w:val="Heading2"/>
        <w:spacing w:after="120" w:before="240"/>
      </w:pPr>
      <w:r>
        <w:rPr>
          <w:rFonts w:ascii="Arial" w:cs="Arial" w:eastAsia="Arial" w:hAnsi="Arial"/>
          <w:b/>
          <w:bCs/>
          <w:sz w:val="23"/>
          <w:szCs w:val="23"/>
        </w:rPr>
        <w:t xml:space="preserve">Erster Weg: Steuerkanzleien</w:t>
      </w:r>
    </w:p>
    <w:p>
      <w:pPr>
        <w:spacing w:after="120" w:line="276"/>
      </w:pPr>
      <w:r>
        <w:rPr>
          <w:rFonts w:ascii="Arial" w:cs="Arial" w:eastAsia="Arial" w:hAnsi="Arial"/>
          <w:sz w:val="21"/>
          <w:szCs w:val="21"/>
        </w:rPr>
        <w:t xml:space="preserve">Eine Kanzlei mit 200 Mandanten betreut 200 Betriebe, die bis 2028 umstellen müssen und die ihre Kanzlei danach fragen werden. Die Einrichtung von Software im Betrieb gehört nicht zum Leistungsbild einer Kanzlei. Angeboten wird daher eine klare Arbeitsteilung: Die steuerliche Beurteilung verbleibt bei der Kanzlei, die technische Einrichtung wird übernommen. Für die Kanzlei entstehen keine Kosten; Vermittlungsentgelte werden ausdrücklich nicht gezahlt.</w:t>
      </w:r>
    </w:p>
    <w:p>
      <w:pPr>
        <w:pStyle w:val="Heading2"/>
        <w:spacing w:after="120" w:before="240"/>
      </w:pPr>
      <w:r>
        <w:rPr>
          <w:rFonts w:ascii="Arial" w:cs="Arial" w:eastAsia="Arial" w:hAnsi="Arial"/>
          <w:b/>
          <w:bCs/>
          <w:sz w:val="23"/>
          <w:szCs w:val="23"/>
        </w:rPr>
        <w:t xml:space="preserve">Zweiter Weg: Innungen und Kreishandwerkerschaften</w:t>
      </w:r>
    </w:p>
    <w:p>
      <w:pPr>
        <w:spacing w:after="120" w:line="276"/>
      </w:pPr>
      <w:r>
        <w:rPr>
          <w:rFonts w:ascii="Arial" w:cs="Arial" w:eastAsia="Arial" w:hAnsi="Arial"/>
          <w:sz w:val="21"/>
          <w:szCs w:val="21"/>
        </w:rPr>
        <w:t xml:space="preserve">Diesen Organisationen obliegt die Unterstützung ihrer Mitgliedsbetriebe bei gesetzlichen Pflichten. Angeboten wird ein kostenloser, herstellerneutraler Kurzvortrag von etwa zwanzig Minuten im Rahmen von Mitgliederversammlungen und Informationsabenden. Ein Vortrag erreicht dreißig bis vierzig Betriebe gleichzeitig.</w:t>
      </w:r>
    </w:p>
    <w:p>
      <w:pPr>
        <w:pStyle w:val="Heading2"/>
        <w:spacing w:after="120" w:before="240"/>
      </w:pPr>
      <w:r>
        <w:rPr>
          <w:rFonts w:ascii="Arial" w:cs="Arial" w:eastAsia="Arial" w:hAnsi="Arial"/>
          <w:b/>
          <w:bCs/>
          <w:sz w:val="23"/>
          <w:szCs w:val="23"/>
        </w:rPr>
        <w:t xml:space="preserve">Dritter Weg: Direktansprache</w:t>
      </w:r>
    </w:p>
    <w:p>
      <w:pPr>
        <w:spacing w:after="120" w:line="276"/>
      </w:pPr>
      <w:r>
        <w:rPr>
          <w:rFonts w:ascii="Arial" w:cs="Arial" w:eastAsia="Arial" w:hAnsi="Arial"/>
          <w:sz w:val="21"/>
          <w:szCs w:val="21"/>
        </w:rPr>
        <w:t xml:space="preserve">Telefonische Ansprache von Handwerksbetrieben in der Region auf Grundlage öffentlich zugänglicher Verzeichnisse, mit dem Hinweis auf die bereits laufende Empfangspflicht als Gesprächsanlass.</w:t>
      </w:r>
    </w:p>
    <w:p>
      <w:pPr>
        <w:pStyle w:val="Heading2"/>
        <w:spacing w:after="120" w:before="240"/>
      </w:pPr>
      <w:r>
        <w:rPr>
          <w:rFonts w:ascii="Arial" w:cs="Arial" w:eastAsia="Arial" w:hAnsi="Arial"/>
          <w:b/>
          <w:bCs/>
          <w:sz w:val="23"/>
          <w:szCs w:val="23"/>
        </w:rPr>
        <w:t xml:space="preserve">Unterstützend: eigene Internetseite</w:t>
      </w:r>
    </w:p>
    <w:p>
      <w:pPr>
        <w:spacing w:after="120" w:line="276"/>
      </w:pPr>
      <w:r>
        <w:rPr>
          <w:rFonts w:ascii="Arial" w:cs="Arial" w:eastAsia="Arial" w:hAnsi="Arial"/>
          <w:sz w:val="21"/>
          <w:szCs w:val="21"/>
        </w:rPr>
        <w:t xml:space="preserve">Die Seite stellt ein kostenloses Werkzeug bereit, mit dem sich eine elektronische Rechnung lesbar machen lässt, sowie eine kurze Selbstauskunft zur eigenen Betroffenheit. Sie dient als Nachweis der Fachkenntnis im Anschluss an einen persönlichen Kontakt, nicht als eigenständiger Werbekanal.</w:t>
      </w:r>
    </w:p>
    <w:p>
      <w:r>
        <w:br w:type="page"/>
      </w:r>
    </w:p>
    <w:p>
      <w:pPr>
        <w:pStyle w:val="Heading1"/>
        <w:spacing w:after="160" w:before="360"/>
      </w:pPr>
      <w:r>
        <w:rPr>
          <w:rFonts w:ascii="Arial" w:cs="Arial" w:eastAsia="Arial" w:hAnsi="Arial"/>
          <w:b/>
          <w:bCs/>
          <w:color w:val="0E5B50"/>
          <w:sz w:val="28"/>
          <w:szCs w:val="28"/>
        </w:rPr>
        <w:t xml:space="preserve">6  Kapitalbedarf</w:t>
      </w:r>
    </w:p>
    <w:p>
      <w:pPr>
        <w:spacing w:after="120" w:line="276"/>
      </w:pPr>
      <w:r>
        <w:rPr>
          <w:rFonts w:ascii="Arial" w:cs="Arial" w:eastAsia="Arial" w:hAnsi="Arial"/>
          <w:sz w:val="21"/>
          <w:szCs w:val="21"/>
        </w:rPr>
        <w:t xml:space="preserve">Der Kapitalbedarf ist gering, weil weder Waren noch Maschinen noch Geschäftsräume erforderlich sind. Ein geeigneter Rechner ist vorhanden.</w:t>
      </w:r>
    </w:p>
    <w:tbl>
      <w:tblPr>
        <w:tblW w:type="dxa" w:w="9070"/>
        <w:tblBorders>
          <w:top w:val="single" w:color="C9C7BE" w:sz="2"/>
          <w:left w:val="single" w:color="C9C7BE" w:sz="2"/>
          <w:bottom w:val="single" w:color="C9C7BE" w:sz="2"/>
          <w:right w:val="single" w:color="C9C7BE" w:sz="2"/>
          <w:insideH w:val="single" w:color="C9C7BE" w:sz="2"/>
          <w:insideV w:val="single" w:color="C9C7BE" w:sz="2"/>
        </w:tblBorders>
      </w:tblPr>
      <w:tblGrid>
        <w:gridCol w:w="5670"/>
        <w:gridCol w:w="3400"/>
      </w:tblGrid>
      <w:tr>
        <w:trPr>
          <w:tblHeader/>
        </w:trPr>
        <w:tc>
          <w:tcPr>
            <w:tcW w:type="dxa" w:w="5670"/>
            <w:shd w:fill="0E5B50" w:color="auto" w:val="clear"/>
            <w:tcMar>
              <w:top w:type="dxa" w:w="80"/>
              <w:left w:type="dxa" w:w="110"/>
              <w:bottom w:type="dxa" w:w="80"/>
              <w:right w:type="dxa" w:w="110"/>
            </w:tcMar>
          </w:tcPr>
          <w:p>
            <w:pPr>
              <w:spacing w:after="0" w:line="260"/>
              <w:jc w:val="left"/>
            </w:pPr>
            <w:r>
              <w:rPr>
                <w:rFonts w:ascii="Arial" w:cs="Arial" w:eastAsia="Arial" w:hAnsi="Arial"/>
                <w:b/>
                <w:bCs/>
                <w:color w:val="FFFFFF"/>
                <w:sz w:val="19"/>
                <w:szCs w:val="19"/>
              </w:rPr>
              <w:t xml:space="preserve">Position</w:t>
            </w:r>
          </w:p>
        </w:tc>
        <w:tc>
          <w:tcPr>
            <w:tcW w:type="dxa" w:w="3400"/>
            <w:shd w:fill="0E5B50" w:color="auto" w:val="clear"/>
            <w:tcMar>
              <w:top w:type="dxa" w:w="80"/>
              <w:left w:type="dxa" w:w="110"/>
              <w:bottom w:type="dxa" w:w="80"/>
              <w:right w:type="dxa" w:w="110"/>
            </w:tcMar>
          </w:tcPr>
          <w:p>
            <w:pPr>
              <w:spacing w:after="0" w:line="260"/>
              <w:jc w:val="right"/>
            </w:pPr>
            <w:r>
              <w:rPr>
                <w:rFonts w:ascii="Arial" w:cs="Arial" w:eastAsia="Arial" w:hAnsi="Arial"/>
                <w:b/>
                <w:bCs/>
                <w:color w:val="FFFFFF"/>
                <w:sz w:val="19"/>
                <w:szCs w:val="19"/>
              </w:rPr>
              <w:t xml:space="preserve">Betrag</w:t>
            </w:r>
          </w:p>
        </w:tc>
      </w:tr>
      <w:tr>
        <w:tc>
          <w:tcPr>
            <w:tcW w:type="dxa" w:w="5670"/>
            <w:tcMar>
              <w:top w:type="dxa" w:w="80"/>
              <w:left w:type="dxa" w:w="110"/>
              <w:bottom w:type="dxa" w:w="80"/>
              <w:right w:type="dxa" w:w="110"/>
            </w:tcMar>
          </w:tcPr>
          <w:p>
            <w:pPr>
              <w:spacing w:after="0" w:line="260"/>
              <w:jc w:val="left"/>
            </w:pPr>
            <w:r>
              <w:rPr>
                <w:rFonts w:ascii="Arial" w:cs="Arial" w:eastAsia="Arial" w:hAnsi="Arial"/>
                <w:sz w:val="20"/>
                <w:szCs w:val="20"/>
              </w:rPr>
              <w:t xml:space="preserve">Betriebshaftpflichtversicherung, Jahresbeitrag im Voraus</w:t>
            </w:r>
          </w:p>
        </w:tc>
        <w:tc>
          <w:tcPr>
            <w:tcW w:type="dxa" w:w="34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300 €</w:t>
            </w:r>
          </w:p>
        </w:tc>
      </w:tr>
      <w:tr>
        <w:tc>
          <w:tcPr>
            <w:tcW w:type="dxa" w:w="5670"/>
            <w:tcMar>
              <w:top w:type="dxa" w:w="80"/>
              <w:left w:type="dxa" w:w="110"/>
              <w:bottom w:type="dxa" w:w="80"/>
              <w:right w:type="dxa" w:w="110"/>
            </w:tcMar>
          </w:tcPr>
          <w:p>
            <w:pPr>
              <w:spacing w:after="0" w:line="260"/>
              <w:jc w:val="left"/>
            </w:pPr>
            <w:r>
              <w:rPr>
                <w:rFonts w:ascii="Arial" w:cs="Arial" w:eastAsia="Arial" w:hAnsi="Arial"/>
                <w:sz w:val="20"/>
                <w:szCs w:val="20"/>
              </w:rPr>
              <w:t xml:space="preserve">Erstellung der Allgemeinen Geschäftsbedingungen durch einen Rechtsanwalt</w:t>
            </w:r>
          </w:p>
        </w:tc>
        <w:tc>
          <w:tcPr>
            <w:tcW w:type="dxa" w:w="34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500 €</w:t>
            </w:r>
          </w:p>
        </w:tc>
      </w:tr>
      <w:tr>
        <w:tc>
          <w:tcPr>
            <w:tcW w:type="dxa" w:w="5670"/>
            <w:tcMar>
              <w:top w:type="dxa" w:w="80"/>
              <w:left w:type="dxa" w:w="110"/>
              <w:bottom w:type="dxa" w:w="80"/>
              <w:right w:type="dxa" w:w="110"/>
            </w:tcMar>
          </w:tcPr>
          <w:p>
            <w:pPr>
              <w:spacing w:after="0" w:line="260"/>
              <w:jc w:val="left"/>
            </w:pPr>
            <w:r>
              <w:rPr>
                <w:rFonts w:ascii="Arial" w:cs="Arial" w:eastAsia="Arial" w:hAnsi="Arial"/>
                <w:sz w:val="20"/>
                <w:szCs w:val="20"/>
              </w:rPr>
              <w:t xml:space="preserve">Domain und Webhosting für ein Jahr</w:t>
            </w:r>
          </w:p>
        </w:tc>
        <w:tc>
          <w:tcPr>
            <w:tcW w:type="dxa" w:w="34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120 €</w:t>
            </w:r>
          </w:p>
        </w:tc>
      </w:tr>
      <w:tr>
        <w:tc>
          <w:tcPr>
            <w:tcW w:type="dxa" w:w="5670"/>
            <w:tcMar>
              <w:top w:type="dxa" w:w="80"/>
              <w:left w:type="dxa" w:w="110"/>
              <w:bottom w:type="dxa" w:w="80"/>
              <w:right w:type="dxa" w:w="110"/>
            </w:tcMar>
          </w:tcPr>
          <w:p>
            <w:pPr>
              <w:spacing w:after="0" w:line="260"/>
              <w:jc w:val="left"/>
            </w:pPr>
            <w:r>
              <w:rPr>
                <w:rFonts w:ascii="Arial" w:cs="Arial" w:eastAsia="Arial" w:hAnsi="Arial"/>
                <w:sz w:val="20"/>
                <w:szCs w:val="20"/>
              </w:rPr>
              <w:t xml:space="preserve">Visitenkarten, Informationsblätter, Druckkosten</w:t>
            </w:r>
          </w:p>
        </w:tc>
        <w:tc>
          <w:tcPr>
            <w:tcW w:type="dxa" w:w="34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200 €</w:t>
            </w:r>
          </w:p>
        </w:tc>
      </w:tr>
      <w:tr>
        <w:tc>
          <w:tcPr>
            <w:tcW w:type="dxa" w:w="5670"/>
            <w:tcMar>
              <w:top w:type="dxa" w:w="80"/>
              <w:left w:type="dxa" w:w="110"/>
              <w:bottom w:type="dxa" w:w="80"/>
              <w:right w:type="dxa" w:w="110"/>
            </w:tcMar>
          </w:tcPr>
          <w:p>
            <w:pPr>
              <w:spacing w:after="0" w:line="260"/>
              <w:jc w:val="left"/>
            </w:pPr>
            <w:r>
              <w:rPr>
                <w:rFonts w:ascii="Arial" w:cs="Arial" w:eastAsia="Arial" w:hAnsi="Arial"/>
                <w:sz w:val="20"/>
                <w:szCs w:val="20"/>
              </w:rPr>
              <w:t xml:space="preserve">Fachliteratur und Normzugang</w:t>
            </w:r>
          </w:p>
        </w:tc>
        <w:tc>
          <w:tcPr>
            <w:tcW w:type="dxa" w:w="34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150 €</w:t>
            </w:r>
          </w:p>
        </w:tc>
      </w:tr>
      <w:tr>
        <w:tc>
          <w:tcPr>
            <w:tcW w:type="dxa" w:w="5670"/>
            <w:tcMar>
              <w:top w:type="dxa" w:w="80"/>
              <w:left w:type="dxa" w:w="110"/>
              <w:bottom w:type="dxa" w:w="80"/>
              <w:right w:type="dxa" w:w="110"/>
            </w:tcMar>
          </w:tcPr>
          <w:p>
            <w:pPr>
              <w:spacing w:after="0" w:line="260"/>
              <w:jc w:val="left"/>
            </w:pPr>
            <w:r>
              <w:rPr>
                <w:rFonts w:ascii="Arial" w:cs="Arial" w:eastAsia="Arial" w:hAnsi="Arial"/>
                <w:sz w:val="20"/>
                <w:szCs w:val="20"/>
              </w:rPr>
              <w:t xml:space="preserve">Rücklage für Fahrtkosten der ersten drei Monate</w:t>
            </w:r>
          </w:p>
        </w:tc>
        <w:tc>
          <w:tcPr>
            <w:tcW w:type="dxa" w:w="34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300 €</w:t>
            </w:r>
          </w:p>
        </w:tc>
      </w:tr>
      <w:tr>
        <w:tc>
          <w:tcPr>
            <w:tcW w:type="dxa" w:w="5670"/>
            <w:shd w:fill="EFEEE9" w:color="auto" w:val="clear"/>
            <w:tcMar>
              <w:top w:type="dxa" w:w="80"/>
              <w:left w:type="dxa" w:w="110"/>
              <w:bottom w:type="dxa" w:w="80"/>
              <w:right w:type="dxa" w:w="110"/>
            </w:tcMar>
          </w:tcPr>
          <w:p>
            <w:pPr>
              <w:spacing w:after="0" w:line="260"/>
              <w:jc w:val="left"/>
            </w:pPr>
            <w:r>
              <w:rPr>
                <w:rFonts w:ascii="Arial" w:cs="Arial" w:eastAsia="Arial" w:hAnsi="Arial"/>
                <w:b/>
                <w:bCs/>
                <w:sz w:val="20"/>
                <w:szCs w:val="20"/>
              </w:rPr>
              <w:t xml:space="preserve">Gesamter Kapitalbedarf</w:t>
            </w:r>
          </w:p>
        </w:tc>
        <w:tc>
          <w:tcPr>
            <w:tcW w:type="dxa" w:w="3400"/>
            <w:shd w:fill="EFEEE9" w:color="auto" w:val="clear"/>
            <w:tcMar>
              <w:top w:type="dxa" w:w="80"/>
              <w:left w:type="dxa" w:w="110"/>
              <w:bottom w:type="dxa" w:w="80"/>
              <w:right w:type="dxa" w:w="110"/>
            </w:tcMar>
          </w:tcPr>
          <w:p>
            <w:pPr>
              <w:spacing w:after="0" w:line="260"/>
              <w:jc w:val="right"/>
            </w:pPr>
            <w:r>
              <w:rPr>
                <w:rFonts w:ascii="Arial" w:cs="Arial" w:eastAsia="Arial" w:hAnsi="Arial"/>
                <w:b/>
                <w:bCs/>
                <w:sz w:val="20"/>
                <w:szCs w:val="20"/>
              </w:rPr>
              <w:t xml:space="preserve">1.570 €</w:t>
            </w:r>
          </w:p>
        </w:tc>
      </w:tr>
    </w:tbl>
    <w:p>
      <w:pPr>
        <w:spacing w:after="140"/>
      </w:pPr>
    </w:p>
    <w:p>
      <w:pPr>
        <w:spacing w:after="120" w:line="276"/>
      </w:pPr>
      <w:r>
        <w:rPr>
          <w:rFonts w:ascii="Arial" w:cs="Arial" w:eastAsia="Arial" w:hAnsi="Arial"/>
          <w:sz w:val="21"/>
          <w:szCs w:val="21"/>
        </w:rPr>
        <w:t xml:space="preserve">Für diesen Bedarf wird ergänzend eine Förderung nach § 16c SGB II beantragt. Ein Bankdarlehen ist nicht vorgesehen und wäre bei diesem Volumen unwirtschaftlich.</w:t>
      </w:r>
    </w:p>
    <w:p>
      <w:pPr>
        <w:pStyle w:val="Heading1"/>
        <w:spacing w:after="160" w:before="360"/>
      </w:pPr>
      <w:r>
        <w:rPr>
          <w:rFonts w:ascii="Arial" w:cs="Arial" w:eastAsia="Arial" w:hAnsi="Arial"/>
          <w:b/>
          <w:bCs/>
          <w:color w:val="0E5B50"/>
          <w:sz w:val="28"/>
          <w:szCs w:val="28"/>
        </w:rPr>
        <w:t xml:space="preserve">7  Umsatz- und Rentabilitätsvorschau</w:t>
      </w:r>
    </w:p>
    <w:p>
      <w:pPr>
        <w:pStyle w:val="Heading2"/>
        <w:spacing w:after="120" w:before="240"/>
      </w:pPr>
      <w:r>
        <w:rPr>
          <w:rFonts w:ascii="Arial" w:cs="Arial" w:eastAsia="Arial" w:hAnsi="Arial"/>
          <w:b/>
          <w:bCs/>
          <w:sz w:val="23"/>
          <w:szCs w:val="23"/>
        </w:rPr>
        <w:t xml:space="preserve">Auftragsentwicklung im ersten Jahr</w:t>
      </w:r>
    </w:p>
    <w:p>
      <w:pPr>
        <w:spacing w:after="120" w:line="276"/>
      </w:pPr>
      <w:r>
        <w:rPr>
          <w:rFonts w:ascii="Arial" w:cs="Arial" w:eastAsia="Arial" w:hAnsi="Arial"/>
          <w:sz w:val="21"/>
          <w:szCs w:val="21"/>
        </w:rPr>
        <w:t xml:space="preserve">Die Planung geht bewusst von einem langsamen Anlauf aus. In den ersten beiden Monaten wird kein Umsatz erwartet, da zunächst die Vertriebswege aufgebaut werden.</w:t>
      </w:r>
    </w:p>
    <w:tbl>
      <w:tblPr>
        <w:tblW w:type="dxa" w:w="9070"/>
        <w:tblBorders>
          <w:top w:val="single" w:color="C9C7BE" w:sz="2"/>
          <w:left w:val="single" w:color="C9C7BE" w:sz="2"/>
          <w:bottom w:val="single" w:color="C9C7BE" w:sz="2"/>
          <w:right w:val="single" w:color="C9C7BE" w:sz="2"/>
          <w:insideH w:val="single" w:color="C9C7BE" w:sz="2"/>
          <w:insideV w:val="single" w:color="C9C7BE" w:sz="2"/>
        </w:tblBorders>
      </w:tblPr>
      <w:tblGrid>
        <w:gridCol w:w="2200"/>
        <w:gridCol w:w="1900"/>
        <w:gridCol w:w="2400"/>
        <w:gridCol w:w="2570"/>
      </w:tblGrid>
      <w:tr>
        <w:trPr>
          <w:tblHeader/>
        </w:trPr>
        <w:tc>
          <w:tcPr>
            <w:tcW w:type="dxa" w:w="2200"/>
            <w:shd w:fill="0E5B50" w:color="auto" w:val="clear"/>
            <w:tcMar>
              <w:top w:type="dxa" w:w="80"/>
              <w:left w:type="dxa" w:w="110"/>
              <w:bottom w:type="dxa" w:w="80"/>
              <w:right w:type="dxa" w:w="110"/>
            </w:tcMar>
          </w:tcPr>
          <w:p>
            <w:pPr>
              <w:spacing w:after="0" w:line="260"/>
              <w:jc w:val="left"/>
            </w:pPr>
            <w:r>
              <w:rPr>
                <w:rFonts w:ascii="Arial" w:cs="Arial" w:eastAsia="Arial" w:hAnsi="Arial"/>
                <w:b/>
                <w:bCs/>
                <w:color w:val="FFFFFF"/>
                <w:sz w:val="19"/>
                <w:szCs w:val="19"/>
              </w:rPr>
              <w:t xml:space="preserve">Zeitraum</w:t>
            </w:r>
          </w:p>
        </w:tc>
        <w:tc>
          <w:tcPr>
            <w:tcW w:type="dxa" w:w="1900"/>
            <w:shd w:fill="0E5B50" w:color="auto" w:val="clear"/>
            <w:tcMar>
              <w:top w:type="dxa" w:w="80"/>
              <w:left w:type="dxa" w:w="110"/>
              <w:bottom w:type="dxa" w:w="80"/>
              <w:right w:type="dxa" w:w="110"/>
            </w:tcMar>
          </w:tcPr>
          <w:p>
            <w:pPr>
              <w:spacing w:after="0" w:line="260"/>
              <w:jc w:val="right"/>
            </w:pPr>
            <w:r>
              <w:rPr>
                <w:rFonts w:ascii="Arial" w:cs="Arial" w:eastAsia="Arial" w:hAnsi="Arial"/>
                <w:b/>
                <w:bCs/>
                <w:color w:val="FFFFFF"/>
                <w:sz w:val="19"/>
                <w:szCs w:val="19"/>
              </w:rPr>
              <w:t xml:space="preserve">Aufträge</w:t>
            </w:r>
          </w:p>
        </w:tc>
        <w:tc>
          <w:tcPr>
            <w:tcW w:type="dxa" w:w="2400"/>
            <w:shd w:fill="0E5B50" w:color="auto" w:val="clear"/>
            <w:tcMar>
              <w:top w:type="dxa" w:w="80"/>
              <w:left w:type="dxa" w:w="110"/>
              <w:bottom w:type="dxa" w:w="80"/>
              <w:right w:type="dxa" w:w="110"/>
            </w:tcMar>
          </w:tcPr>
          <w:p>
            <w:pPr>
              <w:spacing w:after="0" w:line="260"/>
              <w:jc w:val="right"/>
            </w:pPr>
            <w:r>
              <w:rPr>
                <w:rFonts w:ascii="Arial" w:cs="Arial" w:eastAsia="Arial" w:hAnsi="Arial"/>
                <w:b/>
                <w:bCs/>
                <w:color w:val="FFFFFF"/>
                <w:sz w:val="19"/>
                <w:szCs w:val="19"/>
              </w:rPr>
              <w:t xml:space="preserve">Umsatz</w:t>
            </w:r>
          </w:p>
        </w:tc>
        <w:tc>
          <w:tcPr>
            <w:tcW w:type="dxa" w:w="2570"/>
            <w:shd w:fill="0E5B50" w:color="auto" w:val="clear"/>
            <w:tcMar>
              <w:top w:type="dxa" w:w="80"/>
              <w:left w:type="dxa" w:w="110"/>
              <w:bottom w:type="dxa" w:w="80"/>
              <w:right w:type="dxa" w:w="110"/>
            </w:tcMar>
          </w:tcPr>
          <w:p>
            <w:pPr>
              <w:spacing w:after="0" w:line="260"/>
              <w:jc w:val="right"/>
            </w:pPr>
            <w:r>
              <w:rPr>
                <w:rFonts w:ascii="Arial" w:cs="Arial" w:eastAsia="Arial" w:hAnsi="Arial"/>
                <w:b/>
                <w:bCs/>
                <w:color w:val="FFFFFF"/>
                <w:sz w:val="19"/>
                <w:szCs w:val="19"/>
              </w:rPr>
              <w:t xml:space="preserve">Anmerkung</w:t>
            </w:r>
          </w:p>
        </w:tc>
      </w:tr>
      <w:tr>
        <w:tc>
          <w:tcPr>
            <w:tcW w:type="dxa" w:w="2200"/>
            <w:tcMar>
              <w:top w:type="dxa" w:w="80"/>
              <w:left w:type="dxa" w:w="110"/>
              <w:bottom w:type="dxa" w:w="80"/>
              <w:right w:type="dxa" w:w="110"/>
            </w:tcMar>
          </w:tcPr>
          <w:p>
            <w:pPr>
              <w:spacing w:after="0" w:line="260"/>
              <w:jc w:val="left"/>
            </w:pPr>
            <w:r>
              <w:rPr>
                <w:rFonts w:ascii="Arial" w:cs="Arial" w:eastAsia="Arial" w:hAnsi="Arial"/>
                <w:sz w:val="20"/>
                <w:szCs w:val="20"/>
              </w:rPr>
              <w:t xml:space="preserve">Monat 1 – 2</w:t>
            </w:r>
          </w:p>
        </w:tc>
        <w:tc>
          <w:tcPr>
            <w:tcW w:type="dxa" w:w="19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0</w:t>
            </w:r>
          </w:p>
        </w:tc>
        <w:tc>
          <w:tcPr>
            <w:tcW w:type="dxa" w:w="24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0 €</w:t>
            </w:r>
          </w:p>
        </w:tc>
        <w:tc>
          <w:tcPr>
            <w:tcW w:type="dxa" w:w="257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Aufbau, Kanzleien und Innungen ansprechen</w:t>
            </w:r>
          </w:p>
        </w:tc>
      </w:tr>
      <w:tr>
        <w:tc>
          <w:tcPr>
            <w:tcW w:type="dxa" w:w="2200"/>
            <w:tcMar>
              <w:top w:type="dxa" w:w="80"/>
              <w:left w:type="dxa" w:w="110"/>
              <w:bottom w:type="dxa" w:w="80"/>
              <w:right w:type="dxa" w:w="110"/>
            </w:tcMar>
          </w:tcPr>
          <w:p>
            <w:pPr>
              <w:spacing w:after="0" w:line="260"/>
              <w:jc w:val="left"/>
            </w:pPr>
            <w:r>
              <w:rPr>
                <w:rFonts w:ascii="Arial" w:cs="Arial" w:eastAsia="Arial" w:hAnsi="Arial"/>
                <w:sz w:val="20"/>
                <w:szCs w:val="20"/>
              </w:rPr>
              <w:t xml:space="preserve">Monat 3 – 4</w:t>
            </w:r>
          </w:p>
        </w:tc>
        <w:tc>
          <w:tcPr>
            <w:tcW w:type="dxa" w:w="19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2</w:t>
            </w:r>
          </w:p>
        </w:tc>
        <w:tc>
          <w:tcPr>
            <w:tcW w:type="dxa" w:w="24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1.200 €</w:t>
            </w:r>
          </w:p>
        </w:tc>
        <w:tc>
          <w:tcPr>
            <w:tcW w:type="dxa" w:w="257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erste Empfehlungen</w:t>
            </w:r>
          </w:p>
        </w:tc>
      </w:tr>
      <w:tr>
        <w:tc>
          <w:tcPr>
            <w:tcW w:type="dxa" w:w="2200"/>
            <w:tcMar>
              <w:top w:type="dxa" w:w="80"/>
              <w:left w:type="dxa" w:w="110"/>
              <w:bottom w:type="dxa" w:w="80"/>
              <w:right w:type="dxa" w:w="110"/>
            </w:tcMar>
          </w:tcPr>
          <w:p>
            <w:pPr>
              <w:spacing w:after="0" w:line="260"/>
              <w:jc w:val="left"/>
            </w:pPr>
            <w:r>
              <w:rPr>
                <w:rFonts w:ascii="Arial" w:cs="Arial" w:eastAsia="Arial" w:hAnsi="Arial"/>
                <w:sz w:val="20"/>
                <w:szCs w:val="20"/>
              </w:rPr>
              <w:t xml:space="preserve">Monat 5 – 6</w:t>
            </w:r>
          </w:p>
        </w:tc>
        <w:tc>
          <w:tcPr>
            <w:tcW w:type="dxa" w:w="19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4</w:t>
            </w:r>
          </w:p>
        </w:tc>
        <w:tc>
          <w:tcPr>
            <w:tcW w:type="dxa" w:w="24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2.400 €</w:t>
            </w:r>
          </w:p>
        </w:tc>
        <w:tc>
          <w:tcPr>
            <w:tcW w:type="dxa" w:w="257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erste Vorträge wirken</w:t>
            </w:r>
          </w:p>
        </w:tc>
      </w:tr>
      <w:tr>
        <w:tc>
          <w:tcPr>
            <w:tcW w:type="dxa" w:w="2200"/>
            <w:tcMar>
              <w:top w:type="dxa" w:w="80"/>
              <w:left w:type="dxa" w:w="110"/>
              <w:bottom w:type="dxa" w:w="80"/>
              <w:right w:type="dxa" w:w="110"/>
            </w:tcMar>
          </w:tcPr>
          <w:p>
            <w:pPr>
              <w:spacing w:after="0" w:line="260"/>
              <w:jc w:val="left"/>
            </w:pPr>
            <w:r>
              <w:rPr>
                <w:rFonts w:ascii="Arial" w:cs="Arial" w:eastAsia="Arial" w:hAnsi="Arial"/>
                <w:sz w:val="20"/>
                <w:szCs w:val="20"/>
              </w:rPr>
              <w:t xml:space="preserve">Monat 7 – 9</w:t>
            </w:r>
          </w:p>
        </w:tc>
        <w:tc>
          <w:tcPr>
            <w:tcW w:type="dxa" w:w="19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9</w:t>
            </w:r>
          </w:p>
        </w:tc>
        <w:tc>
          <w:tcPr>
            <w:tcW w:type="dxa" w:w="24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5.400 €</w:t>
            </w:r>
          </w:p>
        </w:tc>
        <w:tc>
          <w:tcPr>
            <w:tcW w:type="dxa" w:w="257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Empfehlungen aus abgeschlossenen Aufträgen</w:t>
            </w:r>
          </w:p>
        </w:tc>
      </w:tr>
      <w:tr>
        <w:tc>
          <w:tcPr>
            <w:tcW w:type="dxa" w:w="2200"/>
            <w:tcMar>
              <w:top w:type="dxa" w:w="80"/>
              <w:left w:type="dxa" w:w="110"/>
              <w:bottom w:type="dxa" w:w="80"/>
              <w:right w:type="dxa" w:w="110"/>
            </w:tcMar>
          </w:tcPr>
          <w:p>
            <w:pPr>
              <w:spacing w:after="0" w:line="260"/>
              <w:jc w:val="left"/>
            </w:pPr>
            <w:r>
              <w:rPr>
                <w:rFonts w:ascii="Arial" w:cs="Arial" w:eastAsia="Arial" w:hAnsi="Arial"/>
                <w:sz w:val="20"/>
                <w:szCs w:val="20"/>
              </w:rPr>
              <w:t xml:space="preserve">Monat 10 – 12</w:t>
            </w:r>
          </w:p>
        </w:tc>
        <w:tc>
          <w:tcPr>
            <w:tcW w:type="dxa" w:w="19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12</w:t>
            </w:r>
          </w:p>
        </w:tc>
        <w:tc>
          <w:tcPr>
            <w:tcW w:type="dxa" w:w="24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7.200 €</w:t>
            </w:r>
          </w:p>
        </w:tc>
        <w:tc>
          <w:tcPr>
            <w:tcW w:type="dxa" w:w="257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Frist 2027 rückt näher</w:t>
            </w:r>
          </w:p>
        </w:tc>
      </w:tr>
      <w:tr>
        <w:tc>
          <w:tcPr>
            <w:tcW w:type="dxa" w:w="2200"/>
            <w:shd w:fill="EFEEE9" w:color="auto" w:val="clear"/>
            <w:tcMar>
              <w:top w:type="dxa" w:w="80"/>
              <w:left w:type="dxa" w:w="110"/>
              <w:bottom w:type="dxa" w:w="80"/>
              <w:right w:type="dxa" w:w="110"/>
            </w:tcMar>
          </w:tcPr>
          <w:p>
            <w:pPr>
              <w:spacing w:after="0" w:line="260"/>
              <w:jc w:val="left"/>
            </w:pPr>
            <w:r>
              <w:rPr>
                <w:rFonts w:ascii="Arial" w:cs="Arial" w:eastAsia="Arial" w:hAnsi="Arial"/>
                <w:b/>
                <w:bCs/>
                <w:sz w:val="20"/>
                <w:szCs w:val="20"/>
              </w:rPr>
              <w:t xml:space="preserve">Jahr 1 gesamt</w:t>
            </w:r>
          </w:p>
        </w:tc>
        <w:tc>
          <w:tcPr>
            <w:tcW w:type="dxa" w:w="1900"/>
            <w:shd w:fill="EFEEE9" w:color="auto" w:val="clear"/>
            <w:tcMar>
              <w:top w:type="dxa" w:w="80"/>
              <w:left w:type="dxa" w:w="110"/>
              <w:bottom w:type="dxa" w:w="80"/>
              <w:right w:type="dxa" w:w="110"/>
            </w:tcMar>
          </w:tcPr>
          <w:p>
            <w:pPr>
              <w:spacing w:after="0" w:line="260"/>
              <w:jc w:val="right"/>
            </w:pPr>
            <w:r>
              <w:rPr>
                <w:rFonts w:ascii="Arial" w:cs="Arial" w:eastAsia="Arial" w:hAnsi="Arial"/>
                <w:b/>
                <w:bCs/>
                <w:sz w:val="20"/>
                <w:szCs w:val="20"/>
              </w:rPr>
              <w:t xml:space="preserve">27</w:t>
            </w:r>
          </w:p>
        </w:tc>
        <w:tc>
          <w:tcPr>
            <w:tcW w:type="dxa" w:w="2400"/>
            <w:shd w:fill="EFEEE9" w:color="auto" w:val="clear"/>
            <w:tcMar>
              <w:top w:type="dxa" w:w="80"/>
              <w:left w:type="dxa" w:w="110"/>
              <w:bottom w:type="dxa" w:w="80"/>
              <w:right w:type="dxa" w:w="110"/>
            </w:tcMar>
          </w:tcPr>
          <w:p>
            <w:pPr>
              <w:spacing w:after="0" w:line="260"/>
              <w:jc w:val="right"/>
            </w:pPr>
            <w:r>
              <w:rPr>
                <w:rFonts w:ascii="Arial" w:cs="Arial" w:eastAsia="Arial" w:hAnsi="Arial"/>
                <w:b/>
                <w:bCs/>
                <w:sz w:val="20"/>
                <w:szCs w:val="20"/>
              </w:rPr>
              <w:t xml:space="preserve">16.200 €</w:t>
            </w:r>
          </w:p>
        </w:tc>
        <w:tc>
          <w:tcPr>
            <w:tcW w:type="dxa" w:w="2570"/>
            <w:shd w:fill="EFEEE9" w:color="auto" w:val="clear"/>
            <w:tcMar>
              <w:top w:type="dxa" w:w="80"/>
              <w:left w:type="dxa" w:w="110"/>
              <w:bottom w:type="dxa" w:w="80"/>
              <w:right w:type="dxa" w:w="110"/>
            </w:tcMar>
          </w:tcPr>
          <w:p>
            <w:pPr>
              <w:spacing w:after="0" w:line="260"/>
              <w:jc w:val="right"/>
            </w:pPr>
            <w:r>
              <w:rPr>
                <w:rFonts w:ascii="Arial" w:cs="Arial" w:eastAsia="Arial" w:hAnsi="Arial"/>
                <w:b/>
                <w:bCs/>
                <w:sz w:val="20"/>
                <w:szCs w:val="20"/>
              </w:rPr>
              <w:t xml:space="preserve"/>
            </w:r>
          </w:p>
        </w:tc>
      </w:tr>
    </w:tbl>
    <w:p>
      <w:pPr>
        <w:spacing w:after="160"/>
      </w:pPr>
    </w:p>
    <w:p>
      <w:pPr>
        <w:pStyle w:val="Heading2"/>
        <w:spacing w:after="120" w:before="240"/>
      </w:pPr>
      <w:r>
        <w:rPr>
          <w:rFonts w:ascii="Arial" w:cs="Arial" w:eastAsia="Arial" w:hAnsi="Arial"/>
          <w:b/>
          <w:bCs/>
          <w:sz w:val="23"/>
          <w:szCs w:val="23"/>
        </w:rPr>
        <w:t xml:space="preserve">Drei-Jahres-Vorschau</w:t>
      </w:r>
    </w:p>
    <w:tbl>
      <w:tblPr>
        <w:tblW w:type="dxa" w:w="9070"/>
        <w:tblBorders>
          <w:top w:val="single" w:color="C9C7BE" w:sz="2"/>
          <w:left w:val="single" w:color="C9C7BE" w:sz="2"/>
          <w:bottom w:val="single" w:color="C9C7BE" w:sz="2"/>
          <w:right w:val="single" w:color="C9C7BE" w:sz="2"/>
          <w:insideH w:val="single" w:color="C9C7BE" w:sz="2"/>
          <w:insideV w:val="single" w:color="C9C7BE" w:sz="2"/>
        </w:tblBorders>
      </w:tblPr>
      <w:tblGrid>
        <w:gridCol w:w="3070"/>
        <w:gridCol w:w="2000"/>
        <w:gridCol w:w="2000"/>
        <w:gridCol w:w="2000"/>
      </w:tblGrid>
      <w:tr>
        <w:trPr>
          <w:tblHeader/>
        </w:trPr>
        <w:tc>
          <w:tcPr>
            <w:tcW w:type="dxa" w:w="3070"/>
            <w:shd w:fill="0E5B50" w:color="auto" w:val="clear"/>
            <w:tcMar>
              <w:top w:type="dxa" w:w="80"/>
              <w:left w:type="dxa" w:w="110"/>
              <w:bottom w:type="dxa" w:w="80"/>
              <w:right w:type="dxa" w:w="110"/>
            </w:tcMar>
          </w:tcPr>
          <w:p>
            <w:pPr>
              <w:spacing w:after="0" w:line="260"/>
              <w:jc w:val="left"/>
            </w:pPr>
            <w:r>
              <w:rPr>
                <w:rFonts w:ascii="Arial" w:cs="Arial" w:eastAsia="Arial" w:hAnsi="Arial"/>
                <w:b/>
                <w:bCs/>
                <w:color w:val="FFFFFF"/>
                <w:sz w:val="19"/>
                <w:szCs w:val="19"/>
              </w:rPr>
              <w:t xml:space="preserve"/>
            </w:r>
          </w:p>
        </w:tc>
        <w:tc>
          <w:tcPr>
            <w:tcW w:type="dxa" w:w="2000"/>
            <w:shd w:fill="0E5B50" w:color="auto" w:val="clear"/>
            <w:tcMar>
              <w:top w:type="dxa" w:w="80"/>
              <w:left w:type="dxa" w:w="110"/>
              <w:bottom w:type="dxa" w:w="80"/>
              <w:right w:type="dxa" w:w="110"/>
            </w:tcMar>
          </w:tcPr>
          <w:p>
            <w:pPr>
              <w:spacing w:after="0" w:line="260"/>
              <w:jc w:val="right"/>
            </w:pPr>
            <w:r>
              <w:rPr>
                <w:rFonts w:ascii="Arial" w:cs="Arial" w:eastAsia="Arial" w:hAnsi="Arial"/>
                <w:b/>
                <w:bCs/>
                <w:color w:val="FFFFFF"/>
                <w:sz w:val="19"/>
                <w:szCs w:val="19"/>
              </w:rPr>
              <w:t xml:space="preserve">Jahr 1</w:t>
            </w:r>
          </w:p>
        </w:tc>
        <w:tc>
          <w:tcPr>
            <w:tcW w:type="dxa" w:w="2000"/>
            <w:shd w:fill="0E5B50" w:color="auto" w:val="clear"/>
            <w:tcMar>
              <w:top w:type="dxa" w:w="80"/>
              <w:left w:type="dxa" w:w="110"/>
              <w:bottom w:type="dxa" w:w="80"/>
              <w:right w:type="dxa" w:w="110"/>
            </w:tcMar>
          </w:tcPr>
          <w:p>
            <w:pPr>
              <w:spacing w:after="0" w:line="260"/>
              <w:jc w:val="right"/>
            </w:pPr>
            <w:r>
              <w:rPr>
                <w:rFonts w:ascii="Arial" w:cs="Arial" w:eastAsia="Arial" w:hAnsi="Arial"/>
                <w:b/>
                <w:bCs/>
                <w:color w:val="FFFFFF"/>
                <w:sz w:val="19"/>
                <w:szCs w:val="19"/>
              </w:rPr>
              <w:t xml:space="preserve">Jahr 2</w:t>
            </w:r>
          </w:p>
        </w:tc>
        <w:tc>
          <w:tcPr>
            <w:tcW w:type="dxa" w:w="2000"/>
            <w:shd w:fill="0E5B50" w:color="auto" w:val="clear"/>
            <w:tcMar>
              <w:top w:type="dxa" w:w="80"/>
              <w:left w:type="dxa" w:w="110"/>
              <w:bottom w:type="dxa" w:w="80"/>
              <w:right w:type="dxa" w:w="110"/>
            </w:tcMar>
          </w:tcPr>
          <w:p>
            <w:pPr>
              <w:spacing w:after="0" w:line="260"/>
              <w:jc w:val="right"/>
            </w:pPr>
            <w:r>
              <w:rPr>
                <w:rFonts w:ascii="Arial" w:cs="Arial" w:eastAsia="Arial" w:hAnsi="Arial"/>
                <w:b/>
                <w:bCs/>
                <w:color w:val="FFFFFF"/>
                <w:sz w:val="19"/>
                <w:szCs w:val="19"/>
              </w:rPr>
              <w:t xml:space="preserve">Jahr 3</w:t>
            </w:r>
          </w:p>
        </w:tc>
      </w:tr>
      <w:tr>
        <w:tc>
          <w:tcPr>
            <w:tcW w:type="dxa" w:w="3070"/>
            <w:tcMar>
              <w:top w:type="dxa" w:w="80"/>
              <w:left w:type="dxa" w:w="110"/>
              <w:bottom w:type="dxa" w:w="80"/>
              <w:right w:type="dxa" w:w="110"/>
            </w:tcMar>
          </w:tcPr>
          <w:p>
            <w:pPr>
              <w:spacing w:after="0" w:line="260"/>
              <w:jc w:val="left"/>
            </w:pPr>
            <w:r>
              <w:rPr>
                <w:rFonts w:ascii="Arial" w:cs="Arial" w:eastAsia="Arial" w:hAnsi="Arial"/>
                <w:b/>
                <w:bCs/>
                <w:sz w:val="20"/>
                <w:szCs w:val="20"/>
              </w:rPr>
              <w:t xml:space="preserve">Aufträge</w:t>
            </w:r>
          </w:p>
        </w:tc>
        <w:tc>
          <w:tcPr>
            <w:tcW w:type="dxa" w:w="20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27</w:t>
            </w:r>
          </w:p>
        </w:tc>
        <w:tc>
          <w:tcPr>
            <w:tcW w:type="dxa" w:w="20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72</w:t>
            </w:r>
          </w:p>
        </w:tc>
        <w:tc>
          <w:tcPr>
            <w:tcW w:type="dxa" w:w="20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96</w:t>
            </w:r>
          </w:p>
        </w:tc>
      </w:tr>
      <w:tr>
        <w:tc>
          <w:tcPr>
            <w:tcW w:type="dxa" w:w="3070"/>
            <w:tcMar>
              <w:top w:type="dxa" w:w="80"/>
              <w:left w:type="dxa" w:w="110"/>
              <w:bottom w:type="dxa" w:w="80"/>
              <w:right w:type="dxa" w:w="110"/>
            </w:tcMar>
          </w:tcPr>
          <w:p>
            <w:pPr>
              <w:spacing w:after="0" w:line="260"/>
              <w:jc w:val="left"/>
            </w:pPr>
            <w:r>
              <w:rPr>
                <w:rFonts w:ascii="Arial" w:cs="Arial" w:eastAsia="Arial" w:hAnsi="Arial"/>
                <w:b/>
                <w:bCs/>
                <w:sz w:val="20"/>
                <w:szCs w:val="20"/>
              </w:rPr>
              <w:t xml:space="preserve">Umsatz</w:t>
            </w:r>
          </w:p>
        </w:tc>
        <w:tc>
          <w:tcPr>
            <w:tcW w:type="dxa" w:w="20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16.200 €</w:t>
            </w:r>
          </w:p>
        </w:tc>
        <w:tc>
          <w:tcPr>
            <w:tcW w:type="dxa" w:w="20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44.640 €</w:t>
            </w:r>
          </w:p>
        </w:tc>
        <w:tc>
          <w:tcPr>
            <w:tcW w:type="dxa" w:w="20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61.440 €</w:t>
            </w:r>
          </w:p>
        </w:tc>
      </w:tr>
      <w:tr>
        <w:tc>
          <w:tcPr>
            <w:tcW w:type="dxa" w:w="3070"/>
            <w:tcMar>
              <w:top w:type="dxa" w:w="80"/>
              <w:left w:type="dxa" w:w="110"/>
              <w:bottom w:type="dxa" w:w="80"/>
              <w:right w:type="dxa" w:w="110"/>
            </w:tcMar>
          </w:tcPr>
          <w:p>
            <w:pPr>
              <w:spacing w:after="0" w:line="260"/>
              <w:jc w:val="left"/>
            </w:pPr>
            <w:r>
              <w:rPr>
                <w:rFonts w:ascii="Arial" w:cs="Arial" w:eastAsia="Arial" w:hAnsi="Arial"/>
                <w:b/>
                <w:bCs/>
                <w:sz w:val="20"/>
                <w:szCs w:val="20"/>
              </w:rPr>
              <w:t xml:space="preserve">Betriebsausgaben</w:t>
            </w:r>
          </w:p>
        </w:tc>
        <w:tc>
          <w:tcPr>
            <w:tcW w:type="dxa" w:w="20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3.780 €</w:t>
            </w:r>
          </w:p>
        </w:tc>
        <w:tc>
          <w:tcPr>
            <w:tcW w:type="dxa" w:w="20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5.500 €</w:t>
            </w:r>
          </w:p>
        </w:tc>
        <w:tc>
          <w:tcPr>
            <w:tcW w:type="dxa" w:w="20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7.000 €</w:t>
            </w:r>
          </w:p>
        </w:tc>
      </w:tr>
      <w:tr>
        <w:tc>
          <w:tcPr>
            <w:tcW w:type="dxa" w:w="3070"/>
            <w:tcMar>
              <w:top w:type="dxa" w:w="80"/>
              <w:left w:type="dxa" w:w="110"/>
              <w:bottom w:type="dxa" w:w="80"/>
              <w:right w:type="dxa" w:w="110"/>
            </w:tcMar>
          </w:tcPr>
          <w:p>
            <w:pPr>
              <w:spacing w:after="0" w:line="260"/>
              <w:jc w:val="left"/>
            </w:pPr>
            <w:r>
              <w:rPr>
                <w:rFonts w:ascii="Arial" w:cs="Arial" w:eastAsia="Arial" w:hAnsi="Arial"/>
                <w:b/>
                <w:bCs/>
                <w:sz w:val="20"/>
                <w:szCs w:val="20"/>
              </w:rPr>
              <w:t xml:space="preserve">Gewinn vor Steuern</w:t>
            </w:r>
          </w:p>
        </w:tc>
        <w:tc>
          <w:tcPr>
            <w:tcW w:type="dxa" w:w="20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12.420 €</w:t>
            </w:r>
          </w:p>
        </w:tc>
        <w:tc>
          <w:tcPr>
            <w:tcW w:type="dxa" w:w="20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39.140 €</w:t>
            </w:r>
          </w:p>
        </w:tc>
        <w:tc>
          <w:tcPr>
            <w:tcW w:type="dxa" w:w="20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54.440 €</w:t>
            </w:r>
          </w:p>
        </w:tc>
      </w:tr>
      <w:tr>
        <w:tc>
          <w:tcPr>
            <w:tcW w:type="dxa" w:w="3070"/>
            <w:shd w:fill="EFEEE9" w:color="auto" w:val="clear"/>
            <w:tcMar>
              <w:top w:type="dxa" w:w="80"/>
              <w:left w:type="dxa" w:w="110"/>
              <w:bottom w:type="dxa" w:w="80"/>
              <w:right w:type="dxa" w:w="110"/>
            </w:tcMar>
          </w:tcPr>
          <w:p>
            <w:pPr>
              <w:spacing w:after="0" w:line="260"/>
              <w:jc w:val="left"/>
            </w:pPr>
            <w:r>
              <w:rPr>
                <w:rFonts w:ascii="Arial" w:cs="Arial" w:eastAsia="Arial" w:hAnsi="Arial"/>
                <w:b/>
                <w:bCs/>
                <w:sz w:val="20"/>
                <w:szCs w:val="20"/>
              </w:rPr>
              <w:t xml:space="preserve">Gewinn je Monat im Mittel</w:t>
            </w:r>
          </w:p>
        </w:tc>
        <w:tc>
          <w:tcPr>
            <w:tcW w:type="dxa" w:w="2000"/>
            <w:shd w:fill="EFEEE9" w:color="auto" w:val="clear"/>
            <w:tcMar>
              <w:top w:type="dxa" w:w="80"/>
              <w:left w:type="dxa" w:w="110"/>
              <w:bottom w:type="dxa" w:w="80"/>
              <w:right w:type="dxa" w:w="110"/>
            </w:tcMar>
          </w:tcPr>
          <w:p>
            <w:pPr>
              <w:spacing w:after="0" w:line="260"/>
              <w:jc w:val="right"/>
            </w:pPr>
            <w:r>
              <w:rPr>
                <w:rFonts w:ascii="Arial" w:cs="Arial" w:eastAsia="Arial" w:hAnsi="Arial"/>
                <w:b/>
                <w:bCs/>
                <w:sz w:val="20"/>
                <w:szCs w:val="20"/>
              </w:rPr>
              <w:t xml:space="preserve">1.035 €</w:t>
            </w:r>
          </w:p>
        </w:tc>
        <w:tc>
          <w:tcPr>
            <w:tcW w:type="dxa" w:w="2000"/>
            <w:shd w:fill="EFEEE9" w:color="auto" w:val="clear"/>
            <w:tcMar>
              <w:top w:type="dxa" w:w="80"/>
              <w:left w:type="dxa" w:w="110"/>
              <w:bottom w:type="dxa" w:w="80"/>
              <w:right w:type="dxa" w:w="110"/>
            </w:tcMar>
          </w:tcPr>
          <w:p>
            <w:pPr>
              <w:spacing w:after="0" w:line="260"/>
              <w:jc w:val="right"/>
            </w:pPr>
            <w:r>
              <w:rPr>
                <w:rFonts w:ascii="Arial" w:cs="Arial" w:eastAsia="Arial" w:hAnsi="Arial"/>
                <w:b/>
                <w:bCs/>
                <w:sz w:val="20"/>
                <w:szCs w:val="20"/>
              </w:rPr>
              <w:t xml:space="preserve">3.262 €</w:t>
            </w:r>
          </w:p>
        </w:tc>
        <w:tc>
          <w:tcPr>
            <w:tcW w:type="dxa" w:w="2000"/>
            <w:shd w:fill="EFEEE9" w:color="auto" w:val="clear"/>
            <w:tcMar>
              <w:top w:type="dxa" w:w="80"/>
              <w:left w:type="dxa" w:w="110"/>
              <w:bottom w:type="dxa" w:w="80"/>
              <w:right w:type="dxa" w:w="110"/>
            </w:tcMar>
          </w:tcPr>
          <w:p>
            <w:pPr>
              <w:spacing w:after="0" w:line="260"/>
              <w:jc w:val="right"/>
            </w:pPr>
            <w:r>
              <w:rPr>
                <w:rFonts w:ascii="Arial" w:cs="Arial" w:eastAsia="Arial" w:hAnsi="Arial"/>
                <w:b/>
                <w:bCs/>
                <w:sz w:val="20"/>
                <w:szCs w:val="20"/>
              </w:rPr>
              <w:t xml:space="preserve">4.537 €</w:t>
            </w:r>
          </w:p>
        </w:tc>
      </w:tr>
    </w:tbl>
    <w:p>
      <w:pPr>
        <w:spacing w:after="160"/>
      </w:pPr>
    </w:p>
    <w:p>
      <w:pPr>
        <w:pStyle w:val="Heading2"/>
        <w:spacing w:after="120" w:before="240"/>
      </w:pPr>
      <w:r>
        <w:rPr>
          <w:rFonts w:ascii="Arial" w:cs="Arial" w:eastAsia="Arial" w:hAnsi="Arial"/>
          <w:b/>
          <w:bCs/>
          <w:sz w:val="23"/>
          <w:szCs w:val="23"/>
        </w:rPr>
        <w:t xml:space="preserve">Betriebsausgaben im ersten Jahr</w:t>
      </w:r>
    </w:p>
    <w:tbl>
      <w:tblPr>
        <w:tblW w:type="dxa" w:w="9070"/>
        <w:tblBorders>
          <w:top w:val="single" w:color="C9C7BE" w:sz="2"/>
          <w:left w:val="single" w:color="C9C7BE" w:sz="2"/>
          <w:bottom w:val="single" w:color="C9C7BE" w:sz="2"/>
          <w:right w:val="single" w:color="C9C7BE" w:sz="2"/>
          <w:insideH w:val="single" w:color="C9C7BE" w:sz="2"/>
          <w:insideV w:val="single" w:color="C9C7BE" w:sz="2"/>
        </w:tblBorders>
      </w:tblPr>
      <w:tblGrid>
        <w:gridCol w:w="5670"/>
        <w:gridCol w:w="3400"/>
      </w:tblGrid>
      <w:tr>
        <w:trPr>
          <w:tblHeader/>
        </w:trPr>
        <w:tc>
          <w:tcPr>
            <w:tcW w:type="dxa" w:w="5670"/>
            <w:shd w:fill="0E5B50" w:color="auto" w:val="clear"/>
            <w:tcMar>
              <w:top w:type="dxa" w:w="80"/>
              <w:left w:type="dxa" w:w="110"/>
              <w:bottom w:type="dxa" w:w="80"/>
              <w:right w:type="dxa" w:w="110"/>
            </w:tcMar>
          </w:tcPr>
          <w:p>
            <w:pPr>
              <w:spacing w:after="0" w:line="260"/>
              <w:jc w:val="left"/>
            </w:pPr>
            <w:r>
              <w:rPr>
                <w:rFonts w:ascii="Arial" w:cs="Arial" w:eastAsia="Arial" w:hAnsi="Arial"/>
                <w:b/>
                <w:bCs/>
                <w:color w:val="FFFFFF"/>
                <w:sz w:val="19"/>
                <w:szCs w:val="19"/>
              </w:rPr>
              <w:t xml:space="preserve">Position</w:t>
            </w:r>
          </w:p>
        </w:tc>
        <w:tc>
          <w:tcPr>
            <w:tcW w:type="dxa" w:w="3400"/>
            <w:shd w:fill="0E5B50" w:color="auto" w:val="clear"/>
            <w:tcMar>
              <w:top w:type="dxa" w:w="80"/>
              <w:left w:type="dxa" w:w="110"/>
              <w:bottom w:type="dxa" w:w="80"/>
              <w:right w:type="dxa" w:w="110"/>
            </w:tcMar>
          </w:tcPr>
          <w:p>
            <w:pPr>
              <w:spacing w:after="0" w:line="260"/>
              <w:jc w:val="right"/>
            </w:pPr>
            <w:r>
              <w:rPr>
                <w:rFonts w:ascii="Arial" w:cs="Arial" w:eastAsia="Arial" w:hAnsi="Arial"/>
                <w:b/>
                <w:bCs/>
                <w:color w:val="FFFFFF"/>
                <w:sz w:val="19"/>
                <w:szCs w:val="19"/>
              </w:rPr>
              <w:t xml:space="preserve">Jahr 1</w:t>
            </w:r>
          </w:p>
        </w:tc>
      </w:tr>
      <w:tr>
        <w:tc>
          <w:tcPr>
            <w:tcW w:type="dxa" w:w="5670"/>
            <w:tcMar>
              <w:top w:type="dxa" w:w="80"/>
              <w:left w:type="dxa" w:w="110"/>
              <w:bottom w:type="dxa" w:w="80"/>
              <w:right w:type="dxa" w:w="110"/>
            </w:tcMar>
          </w:tcPr>
          <w:p>
            <w:pPr>
              <w:spacing w:after="0" w:line="260"/>
              <w:jc w:val="left"/>
            </w:pPr>
            <w:r>
              <w:rPr>
                <w:rFonts w:ascii="Arial" w:cs="Arial" w:eastAsia="Arial" w:hAnsi="Arial"/>
                <w:sz w:val="20"/>
                <w:szCs w:val="20"/>
              </w:rPr>
              <w:t xml:space="preserve">Fahrtkosten zu Kundenterminen</w:t>
            </w:r>
          </w:p>
        </w:tc>
        <w:tc>
          <w:tcPr>
            <w:tcW w:type="dxa" w:w="34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900 €</w:t>
            </w:r>
          </w:p>
        </w:tc>
      </w:tr>
      <w:tr>
        <w:tc>
          <w:tcPr>
            <w:tcW w:type="dxa" w:w="5670"/>
            <w:tcMar>
              <w:top w:type="dxa" w:w="80"/>
              <w:left w:type="dxa" w:w="110"/>
              <w:bottom w:type="dxa" w:w="80"/>
              <w:right w:type="dxa" w:w="110"/>
            </w:tcMar>
          </w:tcPr>
          <w:p>
            <w:pPr>
              <w:spacing w:after="0" w:line="260"/>
              <w:jc w:val="left"/>
            </w:pPr>
            <w:r>
              <w:rPr>
                <w:rFonts w:ascii="Arial" w:cs="Arial" w:eastAsia="Arial" w:hAnsi="Arial"/>
                <w:sz w:val="20"/>
                <w:szCs w:val="20"/>
              </w:rPr>
              <w:t xml:space="preserve">Buchführung und Steuerberatung</w:t>
            </w:r>
          </w:p>
        </w:tc>
        <w:tc>
          <w:tcPr>
            <w:tcW w:type="dxa" w:w="34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600 €</w:t>
            </w:r>
          </w:p>
        </w:tc>
      </w:tr>
      <w:tr>
        <w:tc>
          <w:tcPr>
            <w:tcW w:type="dxa" w:w="5670"/>
            <w:tcMar>
              <w:top w:type="dxa" w:w="80"/>
              <w:left w:type="dxa" w:w="110"/>
              <w:bottom w:type="dxa" w:w="80"/>
              <w:right w:type="dxa" w:w="110"/>
            </w:tcMar>
          </w:tcPr>
          <w:p>
            <w:pPr>
              <w:spacing w:after="0" w:line="260"/>
              <w:jc w:val="left"/>
            </w:pPr>
            <w:r>
              <w:rPr>
                <w:rFonts w:ascii="Arial" w:cs="Arial" w:eastAsia="Arial" w:hAnsi="Arial"/>
                <w:sz w:val="20"/>
                <w:szCs w:val="20"/>
              </w:rPr>
              <w:t xml:space="preserve">Allgemeine Geschäftsbedingungen, einmalig</w:t>
            </w:r>
          </w:p>
        </w:tc>
        <w:tc>
          <w:tcPr>
            <w:tcW w:type="dxa" w:w="34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500 €</w:t>
            </w:r>
          </w:p>
        </w:tc>
      </w:tr>
      <w:tr>
        <w:tc>
          <w:tcPr>
            <w:tcW w:type="dxa" w:w="5670"/>
            <w:tcMar>
              <w:top w:type="dxa" w:w="80"/>
              <w:left w:type="dxa" w:w="110"/>
              <w:bottom w:type="dxa" w:w="80"/>
              <w:right w:type="dxa" w:w="110"/>
            </w:tcMar>
          </w:tcPr>
          <w:p>
            <w:pPr>
              <w:spacing w:after="0" w:line="260"/>
              <w:jc w:val="left"/>
            </w:pPr>
            <w:r>
              <w:rPr>
                <w:rFonts w:ascii="Arial" w:cs="Arial" w:eastAsia="Arial" w:hAnsi="Arial"/>
                <w:sz w:val="20"/>
                <w:szCs w:val="20"/>
              </w:rPr>
              <w:t xml:space="preserve">Telefon und Internet, anteilig</w:t>
            </w:r>
          </w:p>
        </w:tc>
        <w:tc>
          <w:tcPr>
            <w:tcW w:type="dxa" w:w="34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360 €</w:t>
            </w:r>
          </w:p>
        </w:tc>
      </w:tr>
      <w:tr>
        <w:tc>
          <w:tcPr>
            <w:tcW w:type="dxa" w:w="5670"/>
            <w:tcMar>
              <w:top w:type="dxa" w:w="80"/>
              <w:left w:type="dxa" w:w="110"/>
              <w:bottom w:type="dxa" w:w="80"/>
              <w:right w:type="dxa" w:w="110"/>
            </w:tcMar>
          </w:tcPr>
          <w:p>
            <w:pPr>
              <w:spacing w:after="0" w:line="260"/>
              <w:jc w:val="left"/>
            </w:pPr>
            <w:r>
              <w:rPr>
                <w:rFonts w:ascii="Arial" w:cs="Arial" w:eastAsia="Arial" w:hAnsi="Arial"/>
                <w:sz w:val="20"/>
                <w:szCs w:val="20"/>
              </w:rPr>
              <w:t xml:space="preserve">Betriebshaftpflichtversicherung</w:t>
            </w:r>
          </w:p>
        </w:tc>
        <w:tc>
          <w:tcPr>
            <w:tcW w:type="dxa" w:w="34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300 €</w:t>
            </w:r>
          </w:p>
        </w:tc>
      </w:tr>
      <w:tr>
        <w:tc>
          <w:tcPr>
            <w:tcW w:type="dxa" w:w="5670"/>
            <w:tcMar>
              <w:top w:type="dxa" w:w="80"/>
              <w:left w:type="dxa" w:w="110"/>
              <w:bottom w:type="dxa" w:w="80"/>
              <w:right w:type="dxa" w:w="110"/>
            </w:tcMar>
          </w:tcPr>
          <w:p>
            <w:pPr>
              <w:spacing w:after="0" w:line="260"/>
              <w:jc w:val="left"/>
            </w:pPr>
            <w:r>
              <w:rPr>
                <w:rFonts w:ascii="Arial" w:cs="Arial" w:eastAsia="Arial" w:hAnsi="Arial"/>
                <w:sz w:val="20"/>
                <w:szCs w:val="20"/>
              </w:rPr>
              <w:t xml:space="preserve">Werbung und Druckkosten</w:t>
            </w:r>
          </w:p>
        </w:tc>
        <w:tc>
          <w:tcPr>
            <w:tcW w:type="dxa" w:w="34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300 €</w:t>
            </w:r>
          </w:p>
        </w:tc>
      </w:tr>
      <w:tr>
        <w:tc>
          <w:tcPr>
            <w:tcW w:type="dxa" w:w="5670"/>
            <w:tcMar>
              <w:top w:type="dxa" w:w="80"/>
              <w:left w:type="dxa" w:w="110"/>
              <w:bottom w:type="dxa" w:w="80"/>
              <w:right w:type="dxa" w:w="110"/>
            </w:tcMar>
          </w:tcPr>
          <w:p>
            <w:pPr>
              <w:spacing w:after="0" w:line="260"/>
              <w:jc w:val="left"/>
            </w:pPr>
            <w:r>
              <w:rPr>
                <w:rFonts w:ascii="Arial" w:cs="Arial" w:eastAsia="Arial" w:hAnsi="Arial"/>
                <w:sz w:val="20"/>
                <w:szCs w:val="20"/>
              </w:rPr>
              <w:t xml:space="preserve">Weiterbildung und Fachliteratur</w:t>
            </w:r>
          </w:p>
        </w:tc>
        <w:tc>
          <w:tcPr>
            <w:tcW w:type="dxa" w:w="34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250 €</w:t>
            </w:r>
          </w:p>
        </w:tc>
      </w:tr>
      <w:tr>
        <w:tc>
          <w:tcPr>
            <w:tcW w:type="dxa" w:w="5670"/>
            <w:tcMar>
              <w:top w:type="dxa" w:w="80"/>
              <w:left w:type="dxa" w:w="110"/>
              <w:bottom w:type="dxa" w:w="80"/>
              <w:right w:type="dxa" w:w="110"/>
            </w:tcMar>
          </w:tcPr>
          <w:p>
            <w:pPr>
              <w:spacing w:after="0" w:line="260"/>
              <w:jc w:val="left"/>
            </w:pPr>
            <w:r>
              <w:rPr>
                <w:rFonts w:ascii="Arial" w:cs="Arial" w:eastAsia="Arial" w:hAnsi="Arial"/>
                <w:sz w:val="20"/>
                <w:szCs w:val="20"/>
              </w:rPr>
              <w:t xml:space="preserve">Büromaterial und Porto</w:t>
            </w:r>
          </w:p>
        </w:tc>
        <w:tc>
          <w:tcPr>
            <w:tcW w:type="dxa" w:w="34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250 €</w:t>
            </w:r>
          </w:p>
        </w:tc>
      </w:tr>
      <w:tr>
        <w:tc>
          <w:tcPr>
            <w:tcW w:type="dxa" w:w="5670"/>
            <w:tcMar>
              <w:top w:type="dxa" w:w="80"/>
              <w:left w:type="dxa" w:w="110"/>
              <w:bottom w:type="dxa" w:w="80"/>
              <w:right w:type="dxa" w:w="110"/>
            </w:tcMar>
          </w:tcPr>
          <w:p>
            <w:pPr>
              <w:spacing w:after="0" w:line="260"/>
              <w:jc w:val="left"/>
            </w:pPr>
            <w:r>
              <w:rPr>
                <w:rFonts w:ascii="Arial" w:cs="Arial" w:eastAsia="Arial" w:hAnsi="Arial"/>
                <w:sz w:val="20"/>
                <w:szCs w:val="20"/>
              </w:rPr>
              <w:t xml:space="preserve">Software und Prüfwerkzeuge</w:t>
            </w:r>
          </w:p>
        </w:tc>
        <w:tc>
          <w:tcPr>
            <w:tcW w:type="dxa" w:w="34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200 €</w:t>
            </w:r>
          </w:p>
        </w:tc>
      </w:tr>
      <w:tr>
        <w:tc>
          <w:tcPr>
            <w:tcW w:type="dxa" w:w="5670"/>
            <w:tcMar>
              <w:top w:type="dxa" w:w="80"/>
              <w:left w:type="dxa" w:w="110"/>
              <w:bottom w:type="dxa" w:w="80"/>
              <w:right w:type="dxa" w:w="110"/>
            </w:tcMar>
          </w:tcPr>
          <w:p>
            <w:pPr>
              <w:spacing w:after="0" w:line="260"/>
              <w:jc w:val="left"/>
            </w:pPr>
            <w:r>
              <w:rPr>
                <w:rFonts w:ascii="Arial" w:cs="Arial" w:eastAsia="Arial" w:hAnsi="Arial"/>
                <w:sz w:val="20"/>
                <w:szCs w:val="20"/>
              </w:rPr>
              <w:t xml:space="preserve">Domain und Webhosting</w:t>
            </w:r>
          </w:p>
        </w:tc>
        <w:tc>
          <w:tcPr>
            <w:tcW w:type="dxa" w:w="34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120 €</w:t>
            </w:r>
          </w:p>
        </w:tc>
      </w:tr>
      <w:tr>
        <w:tc>
          <w:tcPr>
            <w:tcW w:type="dxa" w:w="5670"/>
            <w:shd w:fill="EFEEE9" w:color="auto" w:val="clear"/>
            <w:tcMar>
              <w:top w:type="dxa" w:w="80"/>
              <w:left w:type="dxa" w:w="110"/>
              <w:bottom w:type="dxa" w:w="80"/>
              <w:right w:type="dxa" w:w="110"/>
            </w:tcMar>
          </w:tcPr>
          <w:p>
            <w:pPr>
              <w:spacing w:after="0" w:line="260"/>
              <w:jc w:val="left"/>
            </w:pPr>
            <w:r>
              <w:rPr>
                <w:rFonts w:ascii="Arial" w:cs="Arial" w:eastAsia="Arial" w:hAnsi="Arial"/>
                <w:b/>
                <w:bCs/>
                <w:sz w:val="20"/>
                <w:szCs w:val="20"/>
              </w:rPr>
              <w:t xml:space="preserve">Summe</w:t>
            </w:r>
          </w:p>
        </w:tc>
        <w:tc>
          <w:tcPr>
            <w:tcW w:type="dxa" w:w="3400"/>
            <w:shd w:fill="EFEEE9" w:color="auto" w:val="clear"/>
            <w:tcMar>
              <w:top w:type="dxa" w:w="80"/>
              <w:left w:type="dxa" w:w="110"/>
              <w:bottom w:type="dxa" w:w="80"/>
              <w:right w:type="dxa" w:w="110"/>
            </w:tcMar>
          </w:tcPr>
          <w:p>
            <w:pPr>
              <w:spacing w:after="0" w:line="260"/>
              <w:jc w:val="right"/>
            </w:pPr>
            <w:r>
              <w:rPr>
                <w:rFonts w:ascii="Arial" w:cs="Arial" w:eastAsia="Arial" w:hAnsi="Arial"/>
                <w:b/>
                <w:bCs/>
                <w:sz w:val="20"/>
                <w:szCs w:val="20"/>
              </w:rPr>
              <w:t xml:space="preserve">3.780 €</w:t>
            </w:r>
          </w:p>
        </w:tc>
      </w:tr>
    </w:tbl>
    <w:p>
      <w:r>
        <w:br w:type="page"/>
      </w:r>
    </w:p>
    <w:p>
      <w:pPr>
        <w:pStyle w:val="Heading1"/>
        <w:spacing w:after="160" w:before="360"/>
      </w:pPr>
      <w:r>
        <w:rPr>
          <w:rFonts w:ascii="Arial" w:cs="Arial" w:eastAsia="Arial" w:hAnsi="Arial"/>
          <w:b/>
          <w:bCs/>
          <w:color w:val="0E5B50"/>
          <w:sz w:val="28"/>
          <w:szCs w:val="28"/>
        </w:rPr>
        <w:t xml:space="preserve">8  Weg aus dem Leistungsbezug</w:t>
      </w:r>
    </w:p>
    <w:p>
      <w:pPr>
        <w:spacing w:after="120" w:line="276"/>
      </w:pPr>
      <w:r>
        <w:rPr>
          <w:rFonts w:ascii="Arial" w:cs="Arial" w:eastAsia="Arial" w:hAnsi="Arial"/>
          <w:sz w:val="21"/>
          <w:szCs w:val="21"/>
        </w:rPr>
        <w:t xml:space="preserve">Um den Leistungsbezug vollständig zu beenden, muss der monatliche Gewinn den bisherigen Bedarf sowie die dann selbst zu tragende Kranken- und Pflegeversicherung und eine Rücklage für die Einkommensteuer decken.</w:t>
      </w:r>
    </w:p>
    <w:tbl>
      <w:tblPr>
        <w:tblW w:type="dxa" w:w="9070"/>
        <w:tblBorders>
          <w:top w:val="single" w:color="C9C7BE" w:sz="2"/>
          <w:left w:val="single" w:color="C9C7BE" w:sz="2"/>
          <w:bottom w:val="single" w:color="C9C7BE" w:sz="2"/>
          <w:right w:val="single" w:color="C9C7BE" w:sz="2"/>
          <w:insideH w:val="single" w:color="C9C7BE" w:sz="2"/>
          <w:insideV w:val="single" w:color="C9C7BE" w:sz="2"/>
        </w:tblBorders>
      </w:tblPr>
      <w:tblGrid>
        <w:gridCol w:w="5670"/>
        <w:gridCol w:w="3400"/>
      </w:tblGrid>
      <w:tr>
        <w:trPr>
          <w:tblHeader/>
        </w:trPr>
        <w:tc>
          <w:tcPr>
            <w:tcW w:type="dxa" w:w="5670"/>
            <w:shd w:fill="0E5B50" w:color="auto" w:val="clear"/>
            <w:tcMar>
              <w:top w:type="dxa" w:w="80"/>
              <w:left w:type="dxa" w:w="110"/>
              <w:bottom w:type="dxa" w:w="80"/>
              <w:right w:type="dxa" w:w="110"/>
            </w:tcMar>
          </w:tcPr>
          <w:p>
            <w:pPr>
              <w:spacing w:after="0" w:line="260"/>
              <w:jc w:val="left"/>
            </w:pPr>
            <w:r>
              <w:rPr>
                <w:rFonts w:ascii="Arial" w:cs="Arial" w:eastAsia="Arial" w:hAnsi="Arial"/>
                <w:b/>
                <w:bCs/>
                <w:color w:val="FFFFFF"/>
                <w:sz w:val="19"/>
                <w:szCs w:val="19"/>
              </w:rPr>
              <w:t xml:space="preserve">Position</w:t>
            </w:r>
          </w:p>
        </w:tc>
        <w:tc>
          <w:tcPr>
            <w:tcW w:type="dxa" w:w="3400"/>
            <w:shd w:fill="0E5B50" w:color="auto" w:val="clear"/>
            <w:tcMar>
              <w:top w:type="dxa" w:w="80"/>
              <w:left w:type="dxa" w:w="110"/>
              <w:bottom w:type="dxa" w:w="80"/>
              <w:right w:type="dxa" w:w="110"/>
            </w:tcMar>
          </w:tcPr>
          <w:p>
            <w:pPr>
              <w:spacing w:after="0" w:line="260"/>
              <w:jc w:val="right"/>
            </w:pPr>
            <w:r>
              <w:rPr>
                <w:rFonts w:ascii="Arial" w:cs="Arial" w:eastAsia="Arial" w:hAnsi="Arial"/>
                <w:b/>
                <w:bCs/>
                <w:color w:val="FFFFFF"/>
                <w:sz w:val="19"/>
                <w:szCs w:val="19"/>
              </w:rPr>
              <w:t xml:space="preserve">monatlich</w:t>
            </w:r>
          </w:p>
        </w:tc>
      </w:tr>
      <w:tr>
        <w:tc>
          <w:tcPr>
            <w:tcW w:type="dxa" w:w="5670"/>
            <w:tcMar>
              <w:top w:type="dxa" w:w="80"/>
              <w:left w:type="dxa" w:w="110"/>
              <w:bottom w:type="dxa" w:w="80"/>
              <w:right w:type="dxa" w:w="110"/>
            </w:tcMar>
          </w:tcPr>
          <w:p>
            <w:pPr>
              <w:spacing w:after="0" w:line="260"/>
              <w:jc w:val="left"/>
            </w:pPr>
            <w:r>
              <w:rPr>
                <w:rFonts w:ascii="Arial" w:cs="Arial" w:eastAsia="Arial" w:hAnsi="Arial"/>
                <w:sz w:val="20"/>
                <w:szCs w:val="20"/>
              </w:rPr>
              <w:t xml:space="preserve">Bisheriger Bedarf einschließlich Kosten der Unterkunft</w:t>
            </w:r>
          </w:p>
        </w:tc>
        <w:tc>
          <w:tcPr>
            <w:tcW w:type="dxa" w:w="34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[eigenen Betrag eintragen]</w:t>
            </w:r>
          </w:p>
        </w:tc>
      </w:tr>
      <w:tr>
        <w:tc>
          <w:tcPr>
            <w:tcW w:type="dxa" w:w="5670"/>
            <w:tcMar>
              <w:top w:type="dxa" w:w="80"/>
              <w:left w:type="dxa" w:w="110"/>
              <w:bottom w:type="dxa" w:w="80"/>
              <w:right w:type="dxa" w:w="110"/>
            </w:tcMar>
          </w:tcPr>
          <w:p>
            <w:pPr>
              <w:spacing w:after="0" w:line="260"/>
              <w:jc w:val="left"/>
            </w:pPr>
            <w:r>
              <w:rPr>
                <w:rFonts w:ascii="Arial" w:cs="Arial" w:eastAsia="Arial" w:hAnsi="Arial"/>
                <w:sz w:val="20"/>
                <w:szCs w:val="20"/>
              </w:rPr>
              <w:t xml:space="preserve">Freiwillige gesetzliche Kranken- und Pflegeversicherung, geschätzt</w:t>
            </w:r>
          </w:p>
        </w:tc>
        <w:tc>
          <w:tcPr>
            <w:tcW w:type="dxa" w:w="34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rund 260 €</w:t>
            </w:r>
          </w:p>
        </w:tc>
      </w:tr>
      <w:tr>
        <w:tc>
          <w:tcPr>
            <w:tcW w:type="dxa" w:w="5670"/>
            <w:tcMar>
              <w:top w:type="dxa" w:w="80"/>
              <w:left w:type="dxa" w:w="110"/>
              <w:bottom w:type="dxa" w:w="80"/>
              <w:right w:type="dxa" w:w="110"/>
            </w:tcMar>
          </w:tcPr>
          <w:p>
            <w:pPr>
              <w:spacing w:after="0" w:line="260"/>
              <w:jc w:val="left"/>
            </w:pPr>
            <w:r>
              <w:rPr>
                <w:rFonts w:ascii="Arial" w:cs="Arial" w:eastAsia="Arial" w:hAnsi="Arial"/>
                <w:sz w:val="20"/>
                <w:szCs w:val="20"/>
              </w:rPr>
              <w:t xml:space="preserve">Rücklage für Einkommensteuer</w:t>
            </w:r>
          </w:p>
        </w:tc>
        <w:tc>
          <w:tcPr>
            <w:tcW w:type="dxa" w:w="3400"/>
            <w:tcMar>
              <w:top w:type="dxa" w:w="80"/>
              <w:left w:type="dxa" w:w="110"/>
              <w:bottom w:type="dxa" w:w="80"/>
              <w:right w:type="dxa" w:w="110"/>
            </w:tcMar>
          </w:tcPr>
          <w:p>
            <w:pPr>
              <w:spacing w:after="0" w:line="260"/>
              <w:jc w:val="right"/>
            </w:pPr>
            <w:r>
              <w:rPr>
                <w:rFonts w:ascii="Arial" w:cs="Arial" w:eastAsia="Arial" w:hAnsi="Arial"/>
                <w:b w:val="false"/>
                <w:bCs w:val="false"/>
                <w:sz w:val="20"/>
                <w:szCs w:val="20"/>
              </w:rPr>
              <w:t xml:space="preserve">rund 150 €</w:t>
            </w:r>
          </w:p>
        </w:tc>
      </w:tr>
      <w:tr>
        <w:tc>
          <w:tcPr>
            <w:tcW w:type="dxa" w:w="5670"/>
            <w:shd w:fill="EFEEE9" w:color="auto" w:val="clear"/>
            <w:tcMar>
              <w:top w:type="dxa" w:w="80"/>
              <w:left w:type="dxa" w:w="110"/>
              <w:bottom w:type="dxa" w:w="80"/>
              <w:right w:type="dxa" w:w="110"/>
            </w:tcMar>
          </w:tcPr>
          <w:p>
            <w:pPr>
              <w:spacing w:after="0" w:line="260"/>
              <w:jc w:val="left"/>
            </w:pPr>
            <w:r>
              <w:rPr>
                <w:rFonts w:ascii="Arial" w:cs="Arial" w:eastAsia="Arial" w:hAnsi="Arial"/>
                <w:b/>
                <w:bCs/>
                <w:sz w:val="20"/>
                <w:szCs w:val="20"/>
              </w:rPr>
              <w:t xml:space="preserve">Erforderlicher Gewinn je Monat</w:t>
            </w:r>
          </w:p>
        </w:tc>
        <w:tc>
          <w:tcPr>
            <w:tcW w:type="dxa" w:w="3400"/>
            <w:shd w:fill="EFEEE9" w:color="auto" w:val="clear"/>
            <w:tcMar>
              <w:top w:type="dxa" w:w="80"/>
              <w:left w:type="dxa" w:w="110"/>
              <w:bottom w:type="dxa" w:w="80"/>
              <w:right w:type="dxa" w:w="110"/>
            </w:tcMar>
          </w:tcPr>
          <w:p>
            <w:pPr>
              <w:spacing w:after="0" w:line="260"/>
              <w:jc w:val="right"/>
            </w:pPr>
            <w:r>
              <w:rPr>
                <w:rFonts w:ascii="Arial" w:cs="Arial" w:eastAsia="Arial" w:hAnsi="Arial"/>
                <w:b/>
                <w:bCs/>
                <w:sz w:val="20"/>
                <w:szCs w:val="20"/>
              </w:rPr>
              <w:t xml:space="preserve">rund 1.850 €</w:t>
            </w:r>
          </w:p>
        </w:tc>
      </w:tr>
    </w:tbl>
    <w:p>
      <w:pPr>
        <w:spacing w:after="160"/>
      </w:pPr>
    </w:p>
    <w:p>
      <w:pPr>
        <w:spacing w:after="120" w:line="276"/>
      </w:pPr>
      <w:r>
        <w:rPr>
          <w:rFonts w:ascii="Arial" w:cs="Arial" w:eastAsia="Arial" w:hAnsi="Arial"/>
          <w:sz w:val="21"/>
          <w:szCs w:val="21"/>
        </w:rPr>
        <w:t xml:space="preserve">Nach der vorstehenden Planung wird dieser Wert im Verlauf des zweiten Geschäftsjahres dauerhaft überschritten. Das Einstiegsgeld wird daher für die Aufbauphase benötigt, in der die Vertriebswege wirken, aber noch nicht tragen.</w:t>
      </w:r>
    </w:p>
    <w:p>
      <w:pPr>
        <w:spacing w:after="120" w:line="276"/>
      </w:pPr>
      <w:r>
        <w:rPr>
          <w:rFonts w:ascii="Arial" w:cs="Arial" w:eastAsia="Arial" w:hAnsi="Arial"/>
          <w:sz w:val="21"/>
          <w:szCs w:val="21"/>
        </w:rPr>
        <w:t xml:space="preserve">Die Förderdauer von bis zu 24 Monaten deckt genau diesen Zeitraum ab. Ab dem zweiten Jahr ist die Tätigkeit nach dieser Planung tragfähig.</w:t>
      </w:r>
    </w:p>
    <w:p>
      <w:pPr>
        <w:spacing w:after="80"/>
      </w:pPr>
    </w:p>
    <w:p>
      <w:pPr>
        <w:pStyle w:val="Heading2"/>
        <w:spacing w:after="120" w:before="240"/>
      </w:pPr>
      <w:r>
        <w:rPr>
          <w:rFonts w:ascii="Arial" w:cs="Arial" w:eastAsia="Arial" w:hAnsi="Arial"/>
          <w:b/>
          <w:bCs/>
          <w:sz w:val="23"/>
          <w:szCs w:val="23"/>
        </w:rPr>
        <w:t xml:space="preserve">Chancen</w:t>
      </w:r>
    </w:p>
    <w:p>
      <w:pPr>
        <w:pStyle w:val="ListParagraph"/>
        <w:numPr>
          <w:ilvl w:val="0"/>
          <w:numId w:val="2"/>
        </w:numPr>
        <w:spacing w:after="80" w:line="276"/>
      </w:pPr>
      <w:r>
        <w:rPr>
          <w:rFonts w:ascii="Arial" w:cs="Arial" w:eastAsia="Arial" w:hAnsi="Arial"/>
          <w:sz w:val="21"/>
          <w:szCs w:val="21"/>
        </w:rPr>
        <w:t xml:space="preserve">Die Nachfrage ist gesetzlich erzeugt und mit einem festen Stichtag versehen</w:t>
      </w:r>
    </w:p>
    <w:p>
      <w:pPr>
        <w:pStyle w:val="ListParagraph"/>
        <w:numPr>
          <w:ilvl w:val="0"/>
          <w:numId w:val="2"/>
        </w:numPr>
        <w:spacing w:after="80" w:line="276"/>
      </w:pPr>
      <w:r>
        <w:rPr>
          <w:rFonts w:ascii="Arial" w:cs="Arial" w:eastAsia="Arial" w:hAnsi="Arial"/>
          <w:sz w:val="21"/>
          <w:szCs w:val="21"/>
        </w:rPr>
        <w:t xml:space="preserve">Sehr geringer Kapitalbedarf, dadurch kein Verschuldungsrisiko</w:t>
      </w:r>
    </w:p>
    <w:p>
      <w:pPr>
        <w:pStyle w:val="ListParagraph"/>
        <w:numPr>
          <w:ilvl w:val="0"/>
          <w:numId w:val="2"/>
        </w:numPr>
        <w:spacing w:after="80" w:line="276"/>
      </w:pPr>
      <w:r>
        <w:rPr>
          <w:rFonts w:ascii="Arial" w:cs="Arial" w:eastAsia="Arial" w:hAnsi="Arial"/>
          <w:sz w:val="21"/>
          <w:szCs w:val="21"/>
        </w:rPr>
        <w:t xml:space="preserve">Empfehlungen wirken im Handwerk stark; Innungen und Kanzleien bündeln viele Betriebe</w:t>
      </w:r>
    </w:p>
    <w:p>
      <w:pPr>
        <w:pStyle w:val="ListParagraph"/>
        <w:numPr>
          <w:ilvl w:val="0"/>
          <w:numId w:val="2"/>
        </w:numPr>
        <w:spacing w:after="80" w:line="276"/>
      </w:pPr>
      <w:r>
        <w:rPr>
          <w:rFonts w:ascii="Arial" w:cs="Arial" w:eastAsia="Arial" w:hAnsi="Arial"/>
          <w:sz w:val="21"/>
          <w:szCs w:val="21"/>
        </w:rPr>
        <w:t xml:space="preserve">Bauleistungen nach § 13b sind ein Sonderfall, den verbreitete Programme derzeit nicht abbilden — hier besteht ein besonderer Beratungsbedarf</w:t>
      </w:r>
    </w:p>
    <w:p>
      <w:pPr>
        <w:spacing w:after="80"/>
      </w:pPr>
    </w:p>
    <w:p>
      <w:pPr>
        <w:pStyle w:val="Heading2"/>
        <w:spacing w:after="120" w:before="240"/>
      </w:pPr>
      <w:r>
        <w:rPr>
          <w:rFonts w:ascii="Arial" w:cs="Arial" w:eastAsia="Arial" w:hAnsi="Arial"/>
          <w:b/>
          <w:bCs/>
          <w:sz w:val="23"/>
          <w:szCs w:val="23"/>
        </w:rPr>
        <w:t xml:space="preserve">Risiken und Gegenmaßnahmen</w:t>
      </w:r>
    </w:p>
    <w:tbl>
      <w:tblPr>
        <w:tblW w:type="dxa" w:w="9070"/>
        <w:tblBorders>
          <w:top w:val="single" w:color="C9C7BE" w:sz="2"/>
          <w:left w:val="single" w:color="C9C7BE" w:sz="2"/>
          <w:bottom w:val="single" w:color="C9C7BE" w:sz="2"/>
          <w:right w:val="single" w:color="C9C7BE" w:sz="2"/>
          <w:insideH w:val="single" w:color="C9C7BE" w:sz="2"/>
          <w:insideV w:val="single" w:color="C9C7BE" w:sz="2"/>
        </w:tblBorders>
      </w:tblPr>
      <w:tblGrid>
        <w:gridCol w:w="4200"/>
        <w:gridCol w:w="4870"/>
      </w:tblGrid>
      <w:tr>
        <w:trPr>
          <w:tblHeader/>
        </w:trPr>
        <w:tc>
          <w:tcPr>
            <w:tcW w:type="dxa" w:w="4200"/>
            <w:shd w:fill="0E5B50" w:color="auto" w:val="clear"/>
            <w:tcMar>
              <w:top w:type="dxa" w:w="80"/>
              <w:left w:type="dxa" w:w="110"/>
              <w:bottom w:type="dxa" w:w="80"/>
              <w:right w:type="dxa" w:w="110"/>
            </w:tcMar>
          </w:tcPr>
          <w:p>
            <w:pPr>
              <w:spacing w:after="0" w:line="260"/>
              <w:jc w:val="left"/>
            </w:pPr>
            <w:r>
              <w:rPr>
                <w:rFonts w:ascii="Arial" w:cs="Arial" w:eastAsia="Arial" w:hAnsi="Arial"/>
                <w:b/>
                <w:bCs/>
                <w:color w:val="FFFFFF"/>
                <w:sz w:val="19"/>
                <w:szCs w:val="19"/>
              </w:rPr>
              <w:t xml:space="preserve">Risiko</w:t>
            </w:r>
          </w:p>
        </w:tc>
        <w:tc>
          <w:tcPr>
            <w:tcW w:type="dxa" w:w="4870"/>
            <w:shd w:fill="0E5B50" w:color="auto" w:val="clear"/>
            <w:tcMar>
              <w:top w:type="dxa" w:w="80"/>
              <w:left w:type="dxa" w:w="110"/>
              <w:bottom w:type="dxa" w:w="80"/>
              <w:right w:type="dxa" w:w="110"/>
            </w:tcMar>
          </w:tcPr>
          <w:p>
            <w:pPr>
              <w:spacing w:after="0" w:line="260"/>
              <w:jc w:val="left"/>
            </w:pPr>
            <w:r>
              <w:rPr>
                <w:rFonts w:ascii="Arial" w:cs="Arial" w:eastAsia="Arial" w:hAnsi="Arial"/>
                <w:b/>
                <w:bCs/>
                <w:color w:val="FFFFFF"/>
                <w:sz w:val="19"/>
                <w:szCs w:val="19"/>
              </w:rPr>
              <w:t xml:space="preserve">Gegenmaßnahme</w:t>
            </w:r>
          </w:p>
        </w:tc>
      </w:tr>
      <w:tr>
        <w:tc>
          <w:tcPr>
            <w:tcW w:type="dxa" w:w="4200"/>
            <w:tcMar>
              <w:top w:type="dxa" w:w="80"/>
              <w:left w:type="dxa" w:w="110"/>
              <w:bottom w:type="dxa" w:w="80"/>
              <w:right w:type="dxa" w:w="110"/>
            </w:tcMar>
          </w:tcPr>
          <w:p>
            <w:pPr>
              <w:spacing w:after="0" w:line="260"/>
              <w:jc w:val="left"/>
            </w:pPr>
            <w:r>
              <w:rPr>
                <w:rFonts w:ascii="Arial" w:cs="Arial" w:eastAsia="Arial" w:hAnsi="Arial"/>
                <w:b/>
                <w:bCs/>
                <w:sz w:val="20"/>
                <w:szCs w:val="20"/>
              </w:rPr>
              <w:t xml:space="preserve">Die Nachfrage bricht nach dem Stichtag 2028 ein</w:t>
            </w:r>
          </w:p>
        </w:tc>
        <w:tc>
          <w:tcPr>
            <w:tcW w:type="dxa" w:w="487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Ausbau des Folgegeschäfts: Prüfung des Empfangswegs, Betreuung bei neuen Formatversionen, Unterstützung bei künftigen Meldepflichten</w:t>
            </w:r>
          </w:p>
        </w:tc>
      </w:tr>
      <w:tr>
        <w:tc>
          <w:tcPr>
            <w:tcW w:type="dxa" w:w="4200"/>
            <w:tcMar>
              <w:top w:type="dxa" w:w="80"/>
              <w:left w:type="dxa" w:w="110"/>
              <w:bottom w:type="dxa" w:w="80"/>
              <w:right w:type="dxa" w:w="110"/>
            </w:tcMar>
          </w:tcPr>
          <w:p>
            <w:pPr>
              <w:spacing w:after="0" w:line="260"/>
              <w:jc w:val="left"/>
            </w:pPr>
            <w:r>
              <w:rPr>
                <w:rFonts w:ascii="Arial" w:cs="Arial" w:eastAsia="Arial" w:hAnsi="Arial"/>
                <w:b/>
                <w:bCs/>
                <w:sz w:val="20"/>
                <w:szCs w:val="20"/>
              </w:rPr>
              <w:t xml:space="preserve">Softwarehersteller vereinfachen die Einrichtung so weit, dass keine Hilfe mehr nötig ist</w:t>
            </w:r>
          </w:p>
        </w:tc>
        <w:tc>
          <w:tcPr>
            <w:tcW w:type="dxa" w:w="487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Verlagerung des Schwerpunkts auf Betriebe ohne Rechnungsprogramm und auf Sonderfälle wie § 13b</w:t>
            </w:r>
          </w:p>
        </w:tc>
      </w:tr>
      <w:tr>
        <w:tc>
          <w:tcPr>
            <w:tcW w:type="dxa" w:w="4200"/>
            <w:tcMar>
              <w:top w:type="dxa" w:w="80"/>
              <w:left w:type="dxa" w:w="110"/>
              <w:bottom w:type="dxa" w:w="80"/>
              <w:right w:type="dxa" w:w="110"/>
            </w:tcMar>
          </w:tcPr>
          <w:p>
            <w:pPr>
              <w:spacing w:after="0" w:line="260"/>
              <w:jc w:val="left"/>
            </w:pPr>
            <w:r>
              <w:rPr>
                <w:rFonts w:ascii="Arial" w:cs="Arial" w:eastAsia="Arial" w:hAnsi="Arial"/>
                <w:b/>
                <w:bCs/>
                <w:sz w:val="20"/>
                <w:szCs w:val="20"/>
              </w:rPr>
              <w:t xml:space="preserve">Der Anlauf dauert länger als geplant</w:t>
            </w:r>
          </w:p>
        </w:tc>
        <w:tc>
          <w:tcPr>
            <w:tcW w:type="dxa" w:w="487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Fortführung des Leistungsbezugs während der Aufbauphase; die Kostenstruktur ist so niedrig, dass keine Verluste entstehen</w:t>
            </w:r>
          </w:p>
        </w:tc>
      </w:tr>
      <w:tr>
        <w:tc>
          <w:tcPr>
            <w:tcW w:type="dxa" w:w="4200"/>
            <w:tcMar>
              <w:top w:type="dxa" w:w="80"/>
              <w:left w:type="dxa" w:w="110"/>
              <w:bottom w:type="dxa" w:w="80"/>
              <w:right w:type="dxa" w:w="110"/>
            </w:tcMar>
          </w:tcPr>
          <w:p>
            <w:pPr>
              <w:spacing w:after="0" w:line="260"/>
              <w:jc w:val="left"/>
            </w:pPr>
            <w:r>
              <w:rPr>
                <w:rFonts w:ascii="Arial" w:cs="Arial" w:eastAsia="Arial" w:hAnsi="Arial"/>
                <w:b/>
                <w:bCs/>
                <w:sz w:val="20"/>
                <w:szCs w:val="20"/>
              </w:rPr>
              <w:t xml:space="preserve">Haftung bei fehlerhafter Einrichtung</w:t>
            </w:r>
          </w:p>
        </w:tc>
        <w:tc>
          <w:tcPr>
            <w:tcW w:type="dxa" w:w="487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Abgrenzung in den Geschäftsbedingungen auf die technische Einrichtung, Betriebshaftpflichtversicherung, keine steuerliche Beratung</w:t>
            </w:r>
          </w:p>
        </w:tc>
      </w:tr>
      <w:tr>
        <w:tc>
          <w:tcPr>
            <w:tcW w:type="dxa" w:w="4200"/>
            <w:tcMar>
              <w:top w:type="dxa" w:w="80"/>
              <w:left w:type="dxa" w:w="110"/>
              <w:bottom w:type="dxa" w:w="80"/>
              <w:right w:type="dxa" w:w="110"/>
            </w:tcMar>
          </w:tcPr>
          <w:p>
            <w:pPr>
              <w:spacing w:after="0" w:line="260"/>
              <w:jc w:val="left"/>
            </w:pPr>
            <w:r>
              <w:rPr>
                <w:rFonts w:ascii="Arial" w:cs="Arial" w:eastAsia="Arial" w:hAnsi="Arial"/>
                <w:b/>
                <w:bCs/>
                <w:sz w:val="20"/>
                <w:szCs w:val="20"/>
              </w:rPr>
              <w:t xml:space="preserve">Wettbewerber treten in den Markt ein</w:t>
            </w:r>
          </w:p>
        </w:tc>
        <w:tc>
          <w:tcPr>
            <w:tcW w:type="dxa" w:w="487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Regionale Präsenz und persönliche Erreichbarkeit; frühzeitiger Aufbau der Empfehlungswege</w:t>
            </w:r>
          </w:p>
        </w:tc>
      </w:tr>
    </w:tbl>
    <w:p>
      <w:pPr>
        <w:pStyle w:val="Heading1"/>
        <w:spacing w:after="160" w:before="360"/>
      </w:pPr>
      <w:r>
        <w:rPr>
          <w:rFonts w:ascii="Arial" w:cs="Arial" w:eastAsia="Arial" w:hAnsi="Arial"/>
          <w:b/>
          <w:bCs/>
          <w:color w:val="0E5B50"/>
          <w:sz w:val="28"/>
          <w:szCs w:val="28"/>
        </w:rPr>
        <w:t xml:space="preserve">9  Rechtliche Rahmenbedingungen</w:t>
      </w:r>
    </w:p>
    <w:tbl>
      <w:tblPr>
        <w:tblW w:type="dxa" w:w="9070"/>
        <w:tblBorders>
          <w:top w:val="single" w:color="C9C7BE" w:sz="2"/>
          <w:left w:val="single" w:color="C9C7BE" w:sz="2"/>
          <w:bottom w:val="single" w:color="C9C7BE" w:sz="2"/>
          <w:right w:val="single" w:color="C9C7BE" w:sz="2"/>
          <w:insideH w:val="single" w:color="C9C7BE" w:sz="2"/>
          <w:insideV w:val="single" w:color="C9C7BE" w:sz="2"/>
        </w:tblBorders>
      </w:tblPr>
      <w:tblGrid>
        <w:gridCol w:w="3000"/>
        <w:gridCol w:w="6070"/>
      </w:tblGrid>
      <w:tr>
        <w:trPr>
          <w:tblHeader/>
        </w:trPr>
        <w:tc>
          <w:tcPr>
            <w:tcW w:type="dxa" w:w="3000"/>
            <w:shd w:fill="0E5B50" w:color="auto" w:val="clear"/>
            <w:tcMar>
              <w:top w:type="dxa" w:w="80"/>
              <w:left w:type="dxa" w:w="110"/>
              <w:bottom w:type="dxa" w:w="80"/>
              <w:right w:type="dxa" w:w="110"/>
            </w:tcMar>
          </w:tcPr>
          <w:p>
            <w:pPr>
              <w:spacing w:after="0" w:line="260"/>
              <w:jc w:val="left"/>
            </w:pPr>
            <w:r>
              <w:rPr>
                <w:rFonts w:ascii="Arial" w:cs="Arial" w:eastAsia="Arial" w:hAnsi="Arial"/>
                <w:b/>
                <w:bCs/>
                <w:color w:val="FFFFFF"/>
                <w:sz w:val="19"/>
                <w:szCs w:val="19"/>
              </w:rPr>
              <w:t xml:space="preserve">Punkt</w:t>
            </w:r>
          </w:p>
        </w:tc>
        <w:tc>
          <w:tcPr>
            <w:tcW w:type="dxa" w:w="6070"/>
            <w:shd w:fill="0E5B50" w:color="auto" w:val="clear"/>
            <w:tcMar>
              <w:top w:type="dxa" w:w="80"/>
              <w:left w:type="dxa" w:w="110"/>
              <w:bottom w:type="dxa" w:w="80"/>
              <w:right w:type="dxa" w:w="110"/>
            </w:tcMar>
          </w:tcPr>
          <w:p>
            <w:pPr>
              <w:spacing w:after="0" w:line="260"/>
              <w:jc w:val="left"/>
            </w:pPr>
            <w:r>
              <w:rPr>
                <w:rFonts w:ascii="Arial" w:cs="Arial" w:eastAsia="Arial" w:hAnsi="Arial"/>
                <w:b/>
                <w:bCs/>
                <w:color w:val="FFFFFF"/>
                <w:sz w:val="19"/>
                <w:szCs w:val="19"/>
              </w:rPr>
              <w:t xml:space="preserve">Vorgesehene Umsetzung</w:t>
            </w:r>
          </w:p>
        </w:tc>
      </w:tr>
      <w:tr>
        <w:tc>
          <w:tcPr>
            <w:tcW w:type="dxa" w:w="3000"/>
            <w:tcMar>
              <w:top w:type="dxa" w:w="80"/>
              <w:left w:type="dxa" w:w="110"/>
              <w:bottom w:type="dxa" w:w="80"/>
              <w:right w:type="dxa" w:w="110"/>
            </w:tcMar>
          </w:tcPr>
          <w:p>
            <w:pPr>
              <w:spacing w:after="0" w:line="260"/>
              <w:jc w:val="left"/>
            </w:pPr>
            <w:r>
              <w:rPr>
                <w:rFonts w:ascii="Arial" w:cs="Arial" w:eastAsia="Arial" w:hAnsi="Arial"/>
                <w:b/>
                <w:bCs/>
                <w:sz w:val="20"/>
                <w:szCs w:val="20"/>
              </w:rPr>
              <w:t xml:space="preserve">Rechtsform</w:t>
            </w:r>
          </w:p>
        </w:tc>
        <w:tc>
          <w:tcPr>
            <w:tcW w:type="dxa" w:w="607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Einzelunternehmen</w:t>
            </w:r>
          </w:p>
        </w:tc>
      </w:tr>
      <w:tr>
        <w:tc>
          <w:tcPr>
            <w:tcW w:type="dxa" w:w="3000"/>
            <w:tcMar>
              <w:top w:type="dxa" w:w="80"/>
              <w:left w:type="dxa" w:w="110"/>
              <w:bottom w:type="dxa" w:w="80"/>
              <w:right w:type="dxa" w:w="110"/>
            </w:tcMar>
          </w:tcPr>
          <w:p>
            <w:pPr>
              <w:spacing w:after="0" w:line="260"/>
              <w:jc w:val="left"/>
            </w:pPr>
            <w:r>
              <w:rPr>
                <w:rFonts w:ascii="Arial" w:cs="Arial" w:eastAsia="Arial" w:hAnsi="Arial"/>
                <w:b/>
                <w:bCs/>
                <w:sz w:val="20"/>
                <w:szCs w:val="20"/>
              </w:rPr>
              <w:t xml:space="preserve">Anmeldung</w:t>
            </w:r>
          </w:p>
        </w:tc>
        <w:tc>
          <w:tcPr>
            <w:tcW w:type="dxa" w:w="607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Gewerbeanmeldung beim örtlichen Gewerbeamt nach Bewilligung des Einstiegsgeldes</w:t>
            </w:r>
          </w:p>
        </w:tc>
      </w:tr>
      <w:tr>
        <w:tc>
          <w:tcPr>
            <w:tcW w:type="dxa" w:w="3000"/>
            <w:tcMar>
              <w:top w:type="dxa" w:w="80"/>
              <w:left w:type="dxa" w:w="110"/>
              <w:bottom w:type="dxa" w:w="80"/>
              <w:right w:type="dxa" w:w="110"/>
            </w:tcMar>
          </w:tcPr>
          <w:p>
            <w:pPr>
              <w:spacing w:after="0" w:line="260"/>
              <w:jc w:val="left"/>
            </w:pPr>
            <w:r>
              <w:rPr>
                <w:rFonts w:ascii="Arial" w:cs="Arial" w:eastAsia="Arial" w:hAnsi="Arial"/>
                <w:b/>
                <w:bCs/>
                <w:sz w:val="20"/>
                <w:szCs w:val="20"/>
              </w:rPr>
              <w:t xml:space="preserve">Steuer</w:t>
            </w:r>
          </w:p>
        </w:tc>
        <w:tc>
          <w:tcPr>
            <w:tcW w:type="dxa" w:w="607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Anmeldung beim Finanzamt; Kleinunternehmerregelung nach § 19 UStG wird im ersten Jahr geprüft</w:t>
            </w:r>
          </w:p>
        </w:tc>
      </w:tr>
      <w:tr>
        <w:tc>
          <w:tcPr>
            <w:tcW w:type="dxa" w:w="3000"/>
            <w:tcMar>
              <w:top w:type="dxa" w:w="80"/>
              <w:left w:type="dxa" w:w="110"/>
              <w:bottom w:type="dxa" w:w="80"/>
              <w:right w:type="dxa" w:w="110"/>
            </w:tcMar>
          </w:tcPr>
          <w:p>
            <w:pPr>
              <w:spacing w:after="0" w:line="260"/>
              <w:jc w:val="left"/>
            </w:pPr>
            <w:r>
              <w:rPr>
                <w:rFonts w:ascii="Arial" w:cs="Arial" w:eastAsia="Arial" w:hAnsi="Arial"/>
                <w:b/>
                <w:bCs/>
                <w:sz w:val="20"/>
                <w:szCs w:val="20"/>
              </w:rPr>
              <w:t xml:space="preserve">Erlaubnisse</w:t>
            </w:r>
          </w:p>
        </w:tc>
        <w:tc>
          <w:tcPr>
            <w:tcW w:type="dxa" w:w="607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keine erforderlich; es handelt sich nicht um ein zulassungspflichtiges Handwerk</w:t>
            </w:r>
          </w:p>
        </w:tc>
      </w:tr>
      <w:tr>
        <w:tc>
          <w:tcPr>
            <w:tcW w:type="dxa" w:w="3000"/>
            <w:tcMar>
              <w:top w:type="dxa" w:w="80"/>
              <w:left w:type="dxa" w:w="110"/>
              <w:bottom w:type="dxa" w:w="80"/>
              <w:right w:type="dxa" w:w="110"/>
            </w:tcMar>
          </w:tcPr>
          <w:p>
            <w:pPr>
              <w:spacing w:after="0" w:line="260"/>
              <w:jc w:val="left"/>
            </w:pPr>
            <w:r>
              <w:rPr>
                <w:rFonts w:ascii="Arial" w:cs="Arial" w:eastAsia="Arial" w:hAnsi="Arial"/>
                <w:b/>
                <w:bCs/>
                <w:sz w:val="20"/>
                <w:szCs w:val="20"/>
              </w:rPr>
              <w:t xml:space="preserve">Abgrenzung</w:t>
            </w:r>
          </w:p>
        </w:tc>
        <w:tc>
          <w:tcPr>
            <w:tcW w:type="dxa" w:w="607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keine Steuerberatung nach StBerG und keine Rechtsdienstleistung nach RDG; dies wird im Impressum und in den Geschäftsbedingungen ausgewiesen</w:t>
            </w:r>
          </w:p>
        </w:tc>
      </w:tr>
      <w:tr>
        <w:tc>
          <w:tcPr>
            <w:tcW w:type="dxa" w:w="3000"/>
            <w:tcMar>
              <w:top w:type="dxa" w:w="80"/>
              <w:left w:type="dxa" w:w="110"/>
              <w:bottom w:type="dxa" w:w="80"/>
              <w:right w:type="dxa" w:w="110"/>
            </w:tcMar>
          </w:tcPr>
          <w:p>
            <w:pPr>
              <w:spacing w:after="0" w:line="260"/>
              <w:jc w:val="left"/>
            </w:pPr>
            <w:r>
              <w:rPr>
                <w:rFonts w:ascii="Arial" w:cs="Arial" w:eastAsia="Arial" w:hAnsi="Arial"/>
                <w:b/>
                <w:bCs/>
                <w:sz w:val="20"/>
                <w:szCs w:val="20"/>
              </w:rPr>
              <w:t xml:space="preserve">Versicherung</w:t>
            </w:r>
          </w:p>
        </w:tc>
        <w:tc>
          <w:tcPr>
            <w:tcW w:type="dxa" w:w="607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Betriebshaftpflichtversicherung vor dem ersten Auftrag</w:t>
            </w:r>
          </w:p>
        </w:tc>
      </w:tr>
      <w:tr>
        <w:tc>
          <w:tcPr>
            <w:tcW w:type="dxa" w:w="3000"/>
            <w:tcMar>
              <w:top w:type="dxa" w:w="80"/>
              <w:left w:type="dxa" w:w="110"/>
              <w:bottom w:type="dxa" w:w="80"/>
              <w:right w:type="dxa" w:w="110"/>
            </w:tcMar>
          </w:tcPr>
          <w:p>
            <w:pPr>
              <w:spacing w:after="0" w:line="260"/>
              <w:jc w:val="left"/>
            </w:pPr>
            <w:r>
              <w:rPr>
                <w:rFonts w:ascii="Arial" w:cs="Arial" w:eastAsia="Arial" w:hAnsi="Arial"/>
                <w:b/>
                <w:bCs/>
                <w:sz w:val="20"/>
                <w:szCs w:val="20"/>
              </w:rPr>
              <w:t xml:space="preserve">Datenschutz</w:t>
            </w:r>
          </w:p>
        </w:tc>
        <w:tc>
          <w:tcPr>
            <w:tcW w:type="dxa" w:w="6070"/>
            <w:tcMar>
              <w:top w:type="dxa" w:w="80"/>
              <w:left w:type="dxa" w:w="110"/>
              <w:bottom w:type="dxa" w:w="80"/>
              <w:right w:type="dxa" w:w="110"/>
            </w:tcMar>
          </w:tcPr>
          <w:p>
            <w:pPr>
              <w:spacing w:after="0" w:line="260"/>
              <w:jc w:val="left"/>
            </w:pPr>
            <w:r>
              <w:rPr>
                <w:rFonts w:ascii="Arial" w:cs="Arial" w:eastAsia="Arial" w:hAnsi="Arial"/>
                <w:b w:val="false"/>
                <w:bCs w:val="false"/>
                <w:sz w:val="20"/>
                <w:szCs w:val="20"/>
              </w:rPr>
              <w:t xml:space="preserve">das eingesetzte Prüfwerkzeug verarbeitet Rechnungsdaten ausschließlich lokal beim Anwender; eine Übertragung findet nicht statt</w:t>
            </w:r>
          </w:p>
        </w:tc>
      </w:tr>
    </w:tbl>
    <w:p>
      <w:pPr>
        <w:spacing w:after="200"/>
      </w:pPr>
    </w:p>
    <w:p>
      <w:pPr>
        <w:pStyle w:val="Heading1"/>
        <w:spacing w:after="160" w:before="360"/>
      </w:pPr>
      <w:r>
        <w:rPr>
          <w:rFonts w:ascii="Arial" w:cs="Arial" w:eastAsia="Arial" w:hAnsi="Arial"/>
          <w:b/>
          <w:bCs/>
          <w:color w:val="0E5B50"/>
          <w:sz w:val="28"/>
          <w:szCs w:val="28"/>
        </w:rPr>
        <w:t xml:space="preserve">10  Anlagen</w:t>
      </w:r>
    </w:p>
    <w:p>
      <w:pPr>
        <w:pStyle w:val="ListParagraph"/>
        <w:numPr>
          <w:ilvl w:val="0"/>
          <w:numId w:val="2"/>
        </w:numPr>
        <w:spacing w:after="80" w:line="276"/>
      </w:pPr>
      <w:r>
        <w:rPr>
          <w:rFonts w:ascii="Arial" w:cs="Arial" w:eastAsia="Arial" w:hAnsi="Arial"/>
          <w:sz w:val="21"/>
          <w:szCs w:val="21"/>
        </w:rPr>
        <w:t xml:space="preserve">Lebenslauf</w:t>
      </w:r>
    </w:p>
    <w:p>
      <w:pPr>
        <w:pStyle w:val="ListParagraph"/>
        <w:numPr>
          <w:ilvl w:val="0"/>
          <w:numId w:val="2"/>
        </w:numPr>
        <w:spacing w:after="80" w:line="276"/>
      </w:pPr>
      <w:r>
        <w:rPr>
          <w:rFonts w:ascii="Arial" w:cs="Arial" w:eastAsia="Arial" w:hAnsi="Arial"/>
          <w:sz w:val="21"/>
          <w:szCs w:val="21"/>
        </w:rPr>
        <w:t xml:space="preserve">Erhebung der geprüften Rechnungsprogramme mit Angabe der jeweiligen Quelle</w:t>
      </w:r>
    </w:p>
    <w:p>
      <w:pPr>
        <w:pStyle w:val="ListParagraph"/>
        <w:numPr>
          <w:ilvl w:val="0"/>
          <w:numId w:val="2"/>
        </w:numPr>
        <w:spacing w:after="80" w:line="276"/>
      </w:pPr>
      <w:r>
        <w:rPr>
          <w:rFonts w:ascii="Arial" w:cs="Arial" w:eastAsia="Arial" w:hAnsi="Arial"/>
          <w:sz w:val="21"/>
          <w:szCs w:val="21"/>
        </w:rPr>
        <w:t xml:space="preserve">Fehlerkatalog der häufigsten Ablehnungsgründe</w:t>
      </w:r>
    </w:p>
    <w:p>
      <w:pPr>
        <w:pStyle w:val="ListParagraph"/>
        <w:numPr>
          <w:ilvl w:val="0"/>
          <w:numId w:val="2"/>
        </w:numPr>
        <w:spacing w:after="80" w:line="276"/>
      </w:pPr>
      <w:r>
        <w:rPr>
          <w:rFonts w:ascii="Arial" w:cs="Arial" w:eastAsia="Arial" w:hAnsi="Arial"/>
          <w:sz w:val="21"/>
          <w:szCs w:val="21"/>
        </w:rPr>
        <w:t xml:space="preserve">Ablaufplan je Auftrag</w:t>
      </w:r>
    </w:p>
    <w:p>
      <w:pPr>
        <w:pStyle w:val="ListParagraph"/>
        <w:numPr>
          <w:ilvl w:val="0"/>
          <w:numId w:val="2"/>
        </w:numPr>
        <w:spacing w:after="80" w:line="276"/>
      </w:pPr>
      <w:r>
        <w:rPr>
          <w:rFonts w:ascii="Arial" w:cs="Arial" w:eastAsia="Arial" w:hAnsi="Arial"/>
          <w:sz w:val="21"/>
          <w:szCs w:val="21"/>
        </w:rPr>
        <w:t xml:space="preserve">Ausdruck der Internetseite mit dem kostenlosen Prüfwerkzeug</w:t>
      </w:r>
    </w:p>
    <w:p>
      <w:pPr>
        <w:spacing w:after="240"/>
      </w:pPr>
    </w:p>
    <w:p>
      <w:pPr>
        <w:spacing w:after="120" w:line="276"/>
      </w:pPr>
      <w:r>
        <w:rPr>
          <w:rFonts w:ascii="Arial" w:cs="Arial" w:eastAsia="Arial" w:hAnsi="Arial"/>
          <w:i/>
          <w:iCs/>
          <w:color w:val="888888"/>
          <w:sz w:val="21"/>
          <w:szCs w:val="21"/>
        </w:rPr>
        <w:t xml:space="preserve">Ort, Datum und Unterschrift</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Businessplan – Einrichtung elektronischer Rechnungen</dc:title>
  <dc:creator>Businessplan</dc:creator>
  <cp:lastModifiedBy>Un-named</cp:lastModifiedBy>
  <cp:revision>1</cp:revision>
  <dcterms:created xsi:type="dcterms:W3CDTF">2026-09-09T09:09:42.479Z</dcterms:created>
  <dcterms:modified xsi:type="dcterms:W3CDTF">2026-09-09T09:09:42.479Z</dcterms:modified>
</cp:coreProperties>
</file>

<file path=docProps/custom.xml><?xml version="1.0" encoding="utf-8"?>
<Properties xmlns="http://schemas.openxmlformats.org/officeDocument/2006/custom-properties" xmlns:vt="http://schemas.openxmlformats.org/officeDocument/2006/docPropsVTypes"/>
</file>