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Rate Limiting Design Specification</w:t>
      </w:r>
    </w:p>
    <w:p>
      <w:r>
        <w:t>Status: Draft | Owner: Platform Team | Date: 2026-03-15</w:t>
      </w:r>
    </w:p>
    <w:p>
      <w:pPr>
        <w:pStyle w:val="Heading1"/>
      </w:pPr>
      <w:r>
        <w:t>Overview</w:t>
      </w:r>
    </w:p>
    <w:p>
      <w:r>
        <w:t>This specification defines the rate limiting strategy for the doc2md public API. The system must handle burst traffic from CI/CD pipelines while protecting backend conversion workers from overload.</w:t>
      </w:r>
    </w:p>
    <w:p>
      <w:pPr>
        <w:pStyle w:val="Heading1"/>
      </w:pPr>
      <w:r>
        <w:t>Architecture</w:t>
      </w:r>
    </w:p>
    <w:p>
      <w:r>
        <w:t>Rate limiting is implemented as a token bucket algorithm at the API gateway layer. Each authenticated client receives a bucket with capacity of 100 tokens, refilling at 10 tokens per second. Unauthenticated requests share a global bucket of 20 tokens per IP address.</w:t>
      </w:r>
    </w:p>
    <w:p>
      <w:pPr>
        <w:pStyle w:val="Heading2"/>
      </w:pPr>
      <w:r>
        <w:t>Endpoint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Auth Limit</w:t>
            </w:r>
          </w:p>
        </w:tc>
        <w:tc>
          <w:tcPr>
            <w:tcW w:type="dxa" w:w="2160"/>
          </w:tcPr>
          <w:p>
            <w:r>
              <w:t>Unauth Limit</w:t>
            </w:r>
          </w:p>
        </w:tc>
        <w:tc>
          <w:tcPr>
            <w:tcW w:type="dxa" w:w="2160"/>
          </w:tcPr>
          <w:p>
            <w:r>
              <w:t>Burst</w:t>
            </w:r>
          </w:p>
        </w:tc>
      </w:tr>
      <w:tr>
        <w:tc>
          <w:tcPr>
            <w:tcW w:type="dxa" w:w="2160"/>
          </w:tcPr>
          <w:p>
            <w:r>
              <w:t>/convert</w:t>
            </w:r>
          </w:p>
        </w:tc>
        <w:tc>
          <w:tcPr>
            <w:tcW w:type="dxa" w:w="2160"/>
          </w:tcPr>
          <w:p>
            <w:r>
              <w:t>100 req/min</w:t>
            </w:r>
          </w:p>
        </w:tc>
        <w:tc>
          <w:tcPr>
            <w:tcW w:type="dxa" w:w="2160"/>
          </w:tcPr>
          <w:p>
            <w:r>
              <w:t>10 req/min</w:t>
            </w:r>
          </w:p>
        </w:tc>
        <w:tc>
          <w:tcPr>
            <w:tcW w:type="dxa" w:w="2160"/>
          </w:tcPr>
          <w:p>
            <w:r>
              <w:t>150 req/min</w:t>
            </w:r>
          </w:p>
        </w:tc>
      </w:tr>
      <w:tr>
        <w:tc>
          <w:tcPr>
            <w:tcW w:type="dxa" w:w="2160"/>
          </w:tcPr>
          <w:p>
            <w:r>
              <w:t>/batch</w:t>
            </w:r>
          </w:p>
        </w:tc>
        <w:tc>
          <w:tcPr>
            <w:tcW w:type="dxa" w:w="2160"/>
          </w:tcPr>
          <w:p>
            <w:r>
              <w:t>20 req/min</w:t>
            </w:r>
          </w:p>
        </w:tc>
        <w:tc>
          <w:tcPr>
            <w:tcW w:type="dxa" w:w="2160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30 req/min</w:t>
            </w:r>
          </w:p>
        </w:tc>
      </w:tr>
      <w:tr>
        <w:tc>
          <w:tcPr>
            <w:tcW w:type="dxa" w:w="2160"/>
          </w:tcPr>
          <w:p>
            <w:r>
              <w:t>/status</w:t>
            </w:r>
          </w:p>
        </w:tc>
        <w:tc>
          <w:tcPr>
            <w:tcW w:type="dxa" w:w="2160"/>
          </w:tcPr>
          <w:p>
            <w:r>
              <w:t>300 req/min</w:t>
            </w:r>
          </w:p>
        </w:tc>
        <w:tc>
          <w:tcPr>
            <w:tcW w:type="dxa" w:w="2160"/>
          </w:tcPr>
          <w:p>
            <w:r>
              <w:t>60 req/min</w:t>
            </w:r>
          </w:p>
        </w:tc>
        <w:tc>
          <w:tcPr>
            <w:tcW w:type="dxa" w:w="2160"/>
          </w:tcPr>
          <w:p>
            <w:r>
              <w:t>500 req/min</w:t>
            </w:r>
          </w:p>
        </w:tc>
      </w:tr>
      <w:tr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>
      <w:pPr>
        <w:pStyle w:val="Heading1"/>
      </w:pPr>
      <w:r>
        <w:t>Retry Behavior</w:t>
      </w:r>
    </w:p>
    <w:p>
      <w:r>
        <w:t>When a client exceeds the rate limit, the API returns HTTP 429 with a Retry-After header. The recommended client behavior is exponential backoff starting at 1 second, with a maximum of 5 retries and a ceiling of 32 seconds between attempts.</w:t>
      </w:r>
    </w:p>
    <w:p>
      <w:pPr>
        <w:pStyle w:val="Heading1"/>
      </w:pPr>
      <w:r>
        <w:t>Monitoring</w:t>
      </w:r>
    </w:p>
    <w:p>
      <w:r>
        <w:t>Rate limit events are published to the metrics pipeline with the following dimensions: client_id, endpoint, bucket_state, and rejection_reason. An alert fires when the rejection rate exceeds 5% of total requests over a 5-minute window. The on-call dashboard is at grafana.internal/d/rate-limits.</w:t>
      </w:r>
    </w:p>
    <w:p>
      <w:pPr>
        <w:pStyle w:val="Heading1"/>
      </w:pPr>
      <w:r>
        <w:t>Edge Cases</w:t>
      </w:r>
    </w:p>
    <w:p>
      <w:r>
        <w:t>Batch conversion requests (/batch) consume tokens proportional to the number of files in the batch, with a minimum of 5 tokens per request. A batch of 20 files consumes 20 tokens. This prevents a single batch call from draining the entire bucket.</w:t>
      </w:r>
    </w:p>
    <w:p>
      <w:pPr>
        <w:pStyle w:val="Heading1"/>
      </w:pPr>
      <w:r>
        <w:t>Migration Plan</w:t>
      </w:r>
    </w:p>
    <w:p>
      <w:r>
        <w:t>Phase 1 (week 1): Deploy rate limiter in shadow mode, log but do not enforce. Phase 2 (week 2): Enable enforcement for unauthenticated requests only. Phase 3 (week 3): Enable enforcement for all requests with a 2x grace multiplier. Phase 4 (week 4): Remove grace multiplier, full enforcement.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