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F5FAE">
      <w:pPr>
        <w:pStyle w:val="10"/>
        <w:rPr>
          <w:rFonts w:hint="eastAsia"/>
          <w:highlight w:val="none"/>
        </w:rPr>
      </w:pPr>
      <w:r>
        <w:rPr>
          <w:highlight w:val="none"/>
        </w:rPr>
        <w:tab/>
      </w:r>
      <w:r>
        <w:rPr>
          <w:position w:val="-4"/>
          <w:highlight w:val="none"/>
        </w:rPr>
        <w:object>
          <v:shape id="_x0000_i1025" o:spt="75" type="#_x0000_t75" style="height:13.95pt;width:9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14:paraId="706F1EBF">
      <w:pPr>
        <w:pStyle w:val="10"/>
        <w:rPr>
          <w:highlight w:val="none"/>
        </w:rPr>
      </w:pPr>
      <w:r>
        <w:rPr>
          <w:rFonts w:hint="eastAsia"/>
          <w:highlight w:val="none"/>
        </w:rPr>
        <w:tab/>
      </w:r>
      <w:r>
        <w:rPr>
          <w:rFonts w:hint="eastAsia"/>
          <w:position w:val="-4"/>
          <w:highlight w:val="none"/>
        </w:rPr>
        <w:object>
          <v:shape id="_x0000_i1026" o:spt="75" type="#_x0000_t75" style="height:15.65pt;width:7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highlight w:val="none"/>
        </w:rPr>
        <w:t xml:space="preserve"> </w:t>
      </w:r>
    </w:p>
    <w:p w14:paraId="6A40E424">
      <w:pPr>
        <w:rPr>
          <w:rFonts w:hint="eastAsia" w:ascii="黑体" w:hAnsi="黑体" w:eastAsia="黑体" w:cs="黑体"/>
          <w:sz w:val="28"/>
          <w:szCs w:val="28"/>
          <w:highlight w:val="none"/>
        </w:rPr>
      </w:pPr>
      <w:r>
        <w:rPr>
          <w:rFonts w:hint="eastAsia" w:ascii="黑体" w:hAnsi="黑体" w:eastAsia="黑体" w:cs="黑体"/>
          <w:sz w:val="28"/>
          <w:szCs w:val="28"/>
          <w:highlight w:val="none"/>
        </w:rPr>
        <w:t>一、引言</w:t>
      </w:r>
    </w:p>
    <w:p w14:paraId="5804EEE6">
      <w:pPr>
        <w:pStyle w:val="4"/>
        <w:widowControl/>
        <w:spacing w:beforeAutospacing="0" w:afterAutospacing="0" w:line="360" w:lineRule="auto"/>
        <w:ind w:firstLine="480" w:firstLineChars="200"/>
        <w:rPr>
          <w:rFonts w:hint="eastAsia" w:ascii="宋体" w:hAnsi="宋体" w:eastAsia="宋体" w:cs="宋体"/>
          <w:highlight w:val="none"/>
        </w:rPr>
      </w:pPr>
      <w:r>
        <w:rPr>
          <w:rFonts w:ascii="Times New Roman" w:hAnsi="Times New Roman" w:eastAsia="宋体"/>
          <w:highlight w:val="none"/>
        </w:rPr>
        <w:t>准确的交通流量预测是智能交通系统的重要基础，可为主动交通管理、拥堵缓解、路径引导及城市级交通调度提供前瞻性支持。随着深度学习的发展，交通预测已由单变量时间序列分析逐步转向联合刻画空间依赖与时间动态的时空建模框架。DCRNN、STGCN 和 Graph WaveNet 等代表性图模型奠定了基于路网拓扑进行时空联合建模的基本范式</w:t>
      </w:r>
      <w:r>
        <w:rPr>
          <w:rFonts w:ascii="Times New Roman" w:hAnsi="Times New Roman" w:eastAsia="宋体"/>
          <w:highlight w:val="none"/>
          <w:vertAlign w:val="superscript"/>
        </w:rPr>
        <w:t xml:space="preserve"> </w:t>
      </w:r>
      <w:r>
        <w:rPr>
          <w:rStyle w:val="7"/>
          <w:rFonts w:ascii="Times New Roman" w:hAnsi="Times New Roman" w:eastAsia="宋体"/>
          <w:b w:val="0"/>
          <w:highlight w:val="none"/>
          <w:vertAlign w:val="superscript"/>
        </w:rPr>
        <w:t>[1]–[3]</w:t>
      </w:r>
      <w:r>
        <w:rPr>
          <w:rFonts w:ascii="Times New Roman" w:hAnsi="Times New Roman" w:eastAsia="宋体"/>
          <w:highlight w:val="none"/>
        </w:rPr>
        <w:t xml:space="preserve">；随后，ASTGCN、GMAN 等通过注意力机制增强动态相关性建模 </w:t>
      </w:r>
      <w:r>
        <w:rPr>
          <w:rStyle w:val="7"/>
          <w:rFonts w:ascii="Times New Roman" w:hAnsi="Times New Roman" w:eastAsia="宋体"/>
          <w:b w:val="0"/>
          <w:highlight w:val="none"/>
          <w:vertAlign w:val="superscript"/>
        </w:rPr>
        <w:t>[4], [5]</w:t>
      </w:r>
      <w:r>
        <w:rPr>
          <w:rFonts w:ascii="Times New Roman" w:hAnsi="Times New Roman" w:eastAsia="宋体"/>
          <w:highlight w:val="none"/>
        </w:rPr>
        <w:t xml:space="preserve">，MTGNN、AGCRN 等进一步学习数据驱动的空间关系 </w:t>
      </w:r>
      <w:r>
        <w:rPr>
          <w:rStyle w:val="7"/>
          <w:rFonts w:ascii="Times New Roman" w:hAnsi="Times New Roman" w:eastAsia="宋体"/>
          <w:b w:val="0"/>
          <w:highlight w:val="none"/>
          <w:vertAlign w:val="superscript"/>
        </w:rPr>
        <w:t>[6], [7]</w:t>
      </w:r>
      <w:r>
        <w:rPr>
          <w:rFonts w:ascii="Times New Roman" w:hAnsi="Times New Roman" w:eastAsia="宋体"/>
          <w:highlight w:val="none"/>
        </w:rPr>
        <w:t xml:space="preserve">，STSGCN 和 STFGNN 则从时空同步建模和多尺度时空融合等角度强化空间交互 </w:t>
      </w:r>
      <w:r>
        <w:rPr>
          <w:rStyle w:val="7"/>
          <w:rFonts w:ascii="Times New Roman" w:hAnsi="Times New Roman" w:eastAsia="宋体"/>
          <w:b w:val="0"/>
          <w:highlight w:val="none"/>
          <w:vertAlign w:val="superscript"/>
        </w:rPr>
        <w:t>[8], [9]</w:t>
      </w:r>
      <w:r>
        <w:rPr>
          <w:rFonts w:ascii="Times New Roman" w:hAnsi="Times New Roman" w:eastAsia="宋体"/>
          <w:highlight w:val="none"/>
        </w:rPr>
        <w:t>。与此同时，PDFormer 引入传播时延感知机制</w:t>
      </w:r>
      <w:r>
        <w:rPr>
          <w:rFonts w:ascii="Times New Roman" w:hAnsi="Times New Roman" w:eastAsia="宋体"/>
          <w:highlight w:val="none"/>
          <w:vertAlign w:val="superscript"/>
        </w:rPr>
        <w:t xml:space="preserve"> </w:t>
      </w:r>
      <w:r>
        <w:rPr>
          <w:rStyle w:val="7"/>
          <w:rFonts w:ascii="Times New Roman" w:hAnsi="Times New Roman" w:eastAsia="宋体"/>
          <w:b w:val="0"/>
          <w:highlight w:val="none"/>
          <w:vertAlign w:val="superscript"/>
        </w:rPr>
        <w:t>[10]</w:t>
      </w:r>
      <w:r>
        <w:rPr>
          <w:rFonts w:ascii="Times New Roman" w:hAnsi="Times New Roman" w:eastAsia="宋体"/>
          <w:highlight w:val="none"/>
        </w:rPr>
        <w:t xml:space="preserve">，STWave 利用频率分解区分不同时间动态 </w:t>
      </w:r>
      <w:r>
        <w:rPr>
          <w:rStyle w:val="7"/>
          <w:rFonts w:ascii="Times New Roman" w:hAnsi="Times New Roman" w:eastAsia="宋体"/>
          <w:b w:val="0"/>
          <w:highlight w:val="none"/>
          <w:vertAlign w:val="superscript"/>
        </w:rPr>
        <w:t>[11]</w:t>
      </w:r>
      <w:r>
        <w:rPr>
          <w:rFonts w:ascii="Times New Roman" w:hAnsi="Times New Roman" w:eastAsia="宋体"/>
          <w:highlight w:val="none"/>
        </w:rPr>
        <w:t xml:space="preserve">，PatchTST 和 TimeMixer 等通用时间序列模型则拓展了长程时间依赖建模能力 </w:t>
      </w:r>
      <w:r>
        <w:rPr>
          <w:rStyle w:val="7"/>
          <w:rFonts w:ascii="Times New Roman" w:hAnsi="Times New Roman" w:eastAsia="宋体"/>
          <w:b w:val="0"/>
          <w:highlight w:val="none"/>
          <w:vertAlign w:val="superscript"/>
        </w:rPr>
        <w:t>[12], [13]</w:t>
      </w:r>
      <w:r>
        <w:rPr>
          <w:rFonts w:ascii="Times New Roman" w:hAnsi="Times New Roman" w:eastAsia="宋体"/>
          <w:highlight w:val="none"/>
        </w:rPr>
        <w:t xml:space="preserve">；对于规则网格上的区域流量，ST-ResNet 和 DeepSTN+ 通过卷积结构建模局部空间模式 </w:t>
      </w:r>
      <w:r>
        <w:rPr>
          <w:rStyle w:val="7"/>
          <w:rFonts w:ascii="Times New Roman" w:hAnsi="Times New Roman" w:eastAsia="宋体"/>
          <w:b w:val="0"/>
          <w:highlight w:val="none"/>
          <w:vertAlign w:val="superscript"/>
        </w:rPr>
        <w:t>[14], [15]</w:t>
      </w:r>
      <w:r>
        <w:rPr>
          <w:rStyle w:val="7"/>
          <w:rFonts w:ascii="Times New Roman" w:hAnsi="Times New Roman" w:eastAsia="宋体"/>
          <w:b w:val="0"/>
          <w:highlight w:val="none"/>
        </w:rPr>
        <w:t>。</w:t>
      </w:r>
      <w:r>
        <w:rPr>
          <w:rFonts w:ascii="宋体" w:hAnsi="宋体" w:eastAsia="宋体" w:cs="宋体"/>
          <w:highlight w:val="none"/>
        </w:rPr>
        <w:t>上述研究显著提升了交通流的时空表征能力，也构成了当前交通预测研究的主要技术基础。类似的研究演进在现有综述型工作中也表现为从图结构、注意力、动态图到频率与长序列建模的逐步扩展</w:t>
      </w:r>
      <w:r>
        <w:rPr>
          <w:rFonts w:ascii="宋体" w:hAnsi="宋体" w:eastAsia="宋体" w:cs="宋体"/>
          <w:highlight w:val="none"/>
          <w:vertAlign w:val="superscript"/>
        </w:rPr>
        <w:t>[16], [17]</w:t>
      </w:r>
      <w:r>
        <w:rPr>
          <w:rFonts w:ascii="宋体" w:hAnsi="宋体" w:eastAsia="宋体" w:cs="宋体"/>
          <w:highlight w:val="none"/>
        </w:rPr>
        <w:t>。</w:t>
      </w:r>
    </w:p>
    <w:p w14:paraId="371265CB">
      <w:pPr>
        <w:pStyle w:val="4"/>
        <w:widowControl/>
        <w:spacing w:beforeAutospacing="0" w:afterAutospacing="0" w:line="360" w:lineRule="auto"/>
        <w:ind w:firstLine="480" w:firstLineChars="200"/>
        <w:rPr>
          <w:rStyle w:val="7"/>
          <w:rFonts w:hint="eastAsia" w:ascii="宋体" w:hAnsi="宋体" w:eastAsia="宋体" w:cs="宋体"/>
          <w:b w:val="0"/>
          <w:highlight w:val="none"/>
        </w:rPr>
      </w:pPr>
      <w:r>
        <w:rPr>
          <w:rFonts w:ascii="宋体" w:hAnsi="宋体" w:eastAsia="宋体" w:cs="宋体"/>
          <w:highlight w:val="none"/>
        </w:rPr>
        <w:t>然而，</w:t>
      </w:r>
      <w:r>
        <w:rPr>
          <w:rStyle w:val="7"/>
          <w:rFonts w:ascii="宋体" w:hAnsi="宋体" w:eastAsia="宋体" w:cs="宋体"/>
          <w:b w:val="0"/>
          <w:highlight w:val="none"/>
        </w:rPr>
        <w:t>获得更强的时空表征并不等价于能够充分应对交通状态对常规模式的局部偏离</w:t>
      </w:r>
      <w:r>
        <w:rPr>
          <w:rFonts w:ascii="宋体" w:hAnsi="宋体" w:eastAsia="宋体" w:cs="宋体"/>
          <w:highlight w:val="none"/>
        </w:rPr>
        <w:t>。实际交通流在大多数时段呈现较稳定的周期与空间协同规律，但局部区域仍可能出现与常规时段模式不一致的短时变化</w:t>
      </w:r>
      <w:r>
        <w:rPr>
          <w:rFonts w:hint="eastAsia" w:ascii="宋体" w:hAnsi="宋体" w:eastAsia="宋体" w:cs="宋体"/>
          <w:highlight w:val="none"/>
        </w:rPr>
        <w:t>。</w:t>
      </w:r>
      <w:r>
        <w:rPr>
          <w:rFonts w:ascii="宋体" w:hAnsi="宋体" w:eastAsia="宋体" w:cs="宋体"/>
          <w:highlight w:val="none"/>
        </w:rPr>
        <w:t>当某一区域的近期流量明显偏离其常规时段模式时，未来状态往往同时受到节点自身短时变化以及跨区域历史信息的影响。此时，仅依赖一个统一的时空表示并不足以回答两个更具体的问题：</w:t>
      </w:r>
      <w:r>
        <w:rPr>
          <w:rStyle w:val="7"/>
          <w:rFonts w:ascii="宋体" w:hAnsi="宋体" w:eastAsia="宋体" w:cs="宋体"/>
          <w:b w:val="0"/>
          <w:highlight w:val="none"/>
        </w:rPr>
        <w:t>不同类型的预测证据应如何被组织，以及哪些跨区域历史信息在当前状态下真正具有参考价值。</w:t>
      </w:r>
    </w:p>
    <w:p w14:paraId="7F33FADB">
      <w:pPr>
        <w:spacing w:line="360" w:lineRule="auto"/>
        <w:ind w:firstLine="480" w:firstLineChars="200"/>
        <w:rPr>
          <w:rFonts w:hint="eastAsia" w:ascii="宋体" w:hAnsi="宋体" w:eastAsia="宋体" w:cs="宋体"/>
          <w:sz w:val="24"/>
          <w:highlight w:val="none"/>
        </w:rPr>
      </w:pPr>
      <w:r>
        <w:rPr>
          <w:rFonts w:ascii="宋体" w:hAnsi="宋体" w:eastAsia="宋体" w:cs="宋体"/>
          <w:sz w:val="24"/>
          <w:highlight w:val="none"/>
        </w:rPr>
        <w:t>第一个挑战来自预测证据的异质性。当目标区域偏离常规模式时，可用于修正预测的信息并非来源于单一机制，而是具有明显不同的时间和空间语义。常规周期模式可以提供长期稳定参照，局部短时变化能够反映近期扰动，有向时滞关联描述其他区域历史状态与目标区域之间的时间错位关系，而节点自身演化则刻画其局部连续性。这些信息并不是同一种时空依赖的不同强弱形式，而是对应不同的预测角色。若将它们统一压缩到同一种图传播或同一套时序编码中，模型虽然能够学习联合表征，却难以显式保留不同证据的功能差异，也难以进一步形成针对基础预测误差的定向补偿。因此，真正需要解决的问题不是简单地“融合更多信息”，而是如何依据不同证据的作用机制，为其配置差异化的时间编码与关系支持，并将这些信息组织为具有明确角色的预测修正。</w:t>
      </w:r>
    </w:p>
    <w:p w14:paraId="49850F63">
      <w:pPr>
        <w:spacing w:line="360" w:lineRule="auto"/>
        <w:ind w:firstLine="480" w:firstLineChars="200"/>
        <w:rPr>
          <w:rFonts w:hint="eastAsia" w:ascii="宋体" w:hAnsi="宋体" w:eastAsia="宋体" w:cs="宋体"/>
          <w:sz w:val="24"/>
          <w:highlight w:val="none"/>
        </w:rPr>
      </w:pPr>
      <w:r>
        <w:rPr>
          <w:rFonts w:ascii="宋体" w:hAnsi="宋体" w:eastAsia="宋体" w:cs="宋体"/>
          <w:sz w:val="24"/>
          <w:highlight w:val="none"/>
        </w:rPr>
        <w:t>第二个挑战在于跨区域历史信息的参考价值具有显著的条件依赖性。空间邻近或历史相关只能表明两个区域可能存在联系，却不能保证候选区域的任一历史状态都适用于当前预测。事实上，同一个候选区域在不同历史时滞、不同时间尺度下所呈现的模式，其参考价值可能明显不同；而在多步预测中，不同未来时距所需要的历史信息也并不完全一致。因此，跨区域建模不能只回答“哪些节点相关”，还需要进一步回答：在当前流量背景下，应从哪个候选区域、哪个历史时刻和哪个时间尺度提取信息，并针对不同预测步赋予多少权重。如果缺乏这种条件化选择机制，无关甚至不匹配的历史消息可能与有效证据同时进入聚合过程，从而削弱对异常变化的刻画能力。</w:t>
      </w:r>
    </w:p>
    <w:p w14:paraId="13E77513">
      <w:pPr>
        <w:spacing w:line="360" w:lineRule="auto"/>
        <w:ind w:firstLine="480" w:firstLineChars="200"/>
        <w:rPr>
          <w:rFonts w:hint="eastAsia" w:ascii="宋体" w:hAnsi="宋体" w:eastAsia="宋体" w:cs="宋体"/>
          <w:sz w:val="24"/>
          <w:highlight w:val="none"/>
        </w:rPr>
      </w:pPr>
      <w:r>
        <w:rPr>
          <w:rFonts w:ascii="宋体" w:hAnsi="宋体" w:eastAsia="宋体" w:cs="宋体"/>
          <w:sz w:val="24"/>
          <w:highlight w:val="none"/>
        </w:rPr>
        <w:t>上述两个问题共同指向本文关注的核心研究问题：当目标区域流量偏离其常规时段模式时，如何联合节点自身近期动态与跨区域历史证据，对基础预测进行分层、选择性的残差修正，从而改善短时多步交通流量预测？ 从这一角度看，本文所需的并不是一个更复杂的统一编码器，而是一种能够在已有时空表征之上，分别完成“证据组织”和“历史消息选择”的多级精炼机制。</w:t>
      </w:r>
    </w:p>
    <w:p w14:paraId="7AF15B8E">
      <w:pPr>
        <w:spacing w:line="360" w:lineRule="auto"/>
        <w:ind w:firstLine="480" w:firstLineChars="200"/>
        <w:rPr>
          <w:rFonts w:hint="eastAsia" w:ascii="宋体" w:hAnsi="宋体" w:eastAsia="宋体" w:cs="宋体"/>
          <w:sz w:val="24"/>
          <w:highlight w:val="none"/>
        </w:rPr>
      </w:pPr>
      <w:r>
        <w:rPr>
          <w:rFonts w:ascii="宋体" w:hAnsi="宋体" w:eastAsia="宋体" w:cs="宋体"/>
          <w:sz w:val="24"/>
          <w:highlight w:val="none"/>
        </w:rPr>
        <w:t>为此，本文提出一种级联式多级时空残差网络（</w:t>
      </w:r>
      <w:r>
        <w:rPr>
          <w:rFonts w:ascii="Times New Roman" w:hAnsi="Times New Roman" w:eastAsia="宋体" w:cs="Times New Roman"/>
          <w:sz w:val="24"/>
          <w:highlight w:val="none"/>
        </w:rPr>
        <w:t>Cascaded Multi-level Spatio-temporal Residual Network，CMSRN</w:t>
      </w:r>
      <w:r>
        <w:rPr>
          <w:rFonts w:ascii="宋体" w:hAnsi="宋体" w:eastAsia="宋体" w:cs="宋体"/>
          <w:sz w:val="24"/>
          <w:highlight w:val="none"/>
        </w:rPr>
        <w:t>）。其核心设计原则是：</w:t>
      </w:r>
      <w:r>
        <w:rPr>
          <w:rStyle w:val="7"/>
          <w:rFonts w:ascii="宋体" w:hAnsi="宋体" w:eastAsia="宋体" w:cs="宋体"/>
          <w:b w:val="0"/>
          <w:sz w:val="24"/>
          <w:highlight w:val="none"/>
        </w:rPr>
        <w:t>以共享双频表征建立基础预测，以角色化结构组织修正证据，以背景条件匹配选择历史消息。</w:t>
      </w:r>
      <w:r>
        <w:rPr>
          <w:rFonts w:ascii="宋体" w:hAnsi="宋体" w:eastAsia="宋体" w:cs="宋体"/>
          <w:sz w:val="24"/>
          <w:highlight w:val="none"/>
        </w:rPr>
        <w:t xml:space="preserve"> 框</w:t>
      </w:r>
      <w:r>
        <w:rPr>
          <w:rFonts w:ascii="Times New Roman" w:hAnsi="Times New Roman" w:eastAsia="宋体" w:cs="Times New Roman"/>
          <w:sz w:val="24"/>
          <w:highlight w:val="none"/>
        </w:rPr>
        <w:t xml:space="preserve">架采用 TEDDCF </w:t>
      </w:r>
      <w:r>
        <w:rPr>
          <w:rStyle w:val="7"/>
          <w:rFonts w:ascii="Times New Roman" w:hAnsi="Times New Roman" w:eastAsia="宋体" w:cs="Times New Roman"/>
          <w:b w:val="0"/>
          <w:bCs/>
          <w:sz w:val="24"/>
          <w:highlight w:val="none"/>
          <w:vertAlign w:val="superscript"/>
        </w:rPr>
        <w:t>[18]</w:t>
      </w:r>
      <w:r>
        <w:rPr>
          <w:rFonts w:ascii="宋体" w:hAnsi="宋体" w:eastAsia="宋体" w:cs="宋体"/>
          <w:bCs/>
          <w:sz w:val="24"/>
          <w:highlight w:val="none"/>
          <w:vertAlign w:val="superscript"/>
        </w:rPr>
        <w:t xml:space="preserve"> </w:t>
      </w:r>
      <w:r>
        <w:rPr>
          <w:rFonts w:ascii="Times New Roman" w:hAnsi="Times New Roman" w:eastAsia="宋体" w:cs="Times New Roman"/>
          <w:sz w:val="24"/>
          <w:highlight w:val="none"/>
        </w:rPr>
        <w:t>提取低频与高频时空表征，并在此基础上构建状态证据专家残差精炼模块（SERR）和背景条件跨区域消息选择模块（BCMS）。</w:t>
      </w:r>
      <w:r>
        <w:rPr>
          <w:rFonts w:ascii="宋体" w:hAnsi="宋体" w:eastAsia="宋体" w:cs="宋体"/>
          <w:sz w:val="24"/>
          <w:highlight w:val="none"/>
        </w:rPr>
        <w:t>两个模块分别处理证据组织与消息选择，并在预测端叠加互补修正。</w:t>
      </w:r>
      <w:r>
        <w:rPr>
          <w:rFonts w:ascii="Times New Roman" w:hAnsi="Times New Roman" w:eastAsia="宋体" w:cs="Times New Roman"/>
          <w:sz w:val="24"/>
          <w:highlight w:val="none"/>
        </w:rPr>
        <w:t xml:space="preserve">SERR </w:t>
      </w:r>
      <w:r>
        <w:rPr>
          <w:rFonts w:ascii="宋体" w:hAnsi="宋体" w:eastAsia="宋体" w:cs="宋体"/>
          <w:sz w:val="24"/>
          <w:highlight w:val="none"/>
        </w:rPr>
        <w:t>利用训练期的常规流量基线、历史偏差及近期变化，构建周期参照、局部变化、有向时滞和自身演化四类专家。各专家采用与其角色相对应的时间编码和空间关系支持，将不同来源的信息转化为角色相关的预测修正，再通过残差融合与可学习强度调节作用于基础预测。这一设计将常规参照与近期动态纳入具有明确分工的处理路径，使异质证据能够共同参与预测精炼</w:t>
      </w:r>
      <w:r>
        <w:rPr>
          <w:rFonts w:ascii="Times New Roman" w:hAnsi="Times New Roman" w:eastAsia="宋体" w:cs="Times New Roman"/>
          <w:sz w:val="24"/>
          <w:highlight w:val="none"/>
        </w:rPr>
        <w:t xml:space="preserve">。BCMS </w:t>
      </w:r>
      <w:r>
        <w:rPr>
          <w:rFonts w:ascii="宋体" w:hAnsi="宋体" w:eastAsia="宋体" w:cs="宋体"/>
          <w:sz w:val="24"/>
          <w:highlight w:val="none"/>
        </w:rPr>
        <w:t>进一步利用目标区域与候选来源区域的低频背景，调制高频多尺度模式匹配。该模块在固定候选邻域内，针对各预测步对邻居—时滞—尺度组合进行联合评分与加权聚合，使历史消息的权重同时取决于双端流量背景和预测时距。通过引入零消息选项，模型还可以降低实际历史消息的总体权重，调节跨区域信息的引入程度。由此，</w:t>
      </w:r>
      <w:r>
        <w:rPr>
          <w:rFonts w:ascii="Times New Roman" w:hAnsi="Times New Roman" w:eastAsia="宋体" w:cs="Times New Roman"/>
          <w:sz w:val="24"/>
          <w:highlight w:val="none"/>
        </w:rPr>
        <w:t xml:space="preserve">SERR </w:t>
      </w:r>
      <w:r>
        <w:rPr>
          <w:rFonts w:ascii="宋体" w:hAnsi="宋体" w:eastAsia="宋体" w:cs="宋体"/>
          <w:sz w:val="24"/>
          <w:highlight w:val="none"/>
        </w:rPr>
        <w:t>提供角色化的证据修正，</w:t>
      </w:r>
      <w:r>
        <w:rPr>
          <w:rFonts w:ascii="Times New Roman" w:hAnsi="Times New Roman" w:eastAsia="宋体" w:cs="Times New Roman"/>
          <w:sz w:val="24"/>
          <w:highlight w:val="none"/>
        </w:rPr>
        <w:t xml:space="preserve">BCMS </w:t>
      </w:r>
      <w:r>
        <w:rPr>
          <w:rFonts w:ascii="宋体" w:hAnsi="宋体" w:eastAsia="宋体" w:cs="宋体"/>
          <w:sz w:val="24"/>
          <w:highlight w:val="none"/>
        </w:rPr>
        <w:t>提供背景相关的历史消息补充，两者共同形成对基础预测的残差精炼。</w:t>
      </w:r>
    </w:p>
    <w:p w14:paraId="15FF2841">
      <w:pPr>
        <w:spacing w:line="360" w:lineRule="auto"/>
        <w:ind w:firstLine="480" w:firstLineChars="200"/>
        <w:rPr>
          <w:rFonts w:hint="eastAsia" w:ascii="宋体" w:hAnsi="宋体" w:eastAsia="宋体" w:cs="宋体"/>
          <w:sz w:val="24"/>
          <w:highlight w:val="none"/>
        </w:rPr>
      </w:pPr>
      <w:r>
        <w:rPr>
          <w:rFonts w:ascii="宋体" w:hAnsi="宋体" w:eastAsia="宋体" w:cs="宋体"/>
          <w:sz w:val="24"/>
          <w:highlight w:val="none"/>
        </w:rPr>
        <w:t>本文的主要贡献总结如下：</w:t>
      </w:r>
    </w:p>
    <w:p w14:paraId="507602B1">
      <w:pPr>
        <w:numPr>
          <w:ilvl w:val="0"/>
          <w:numId w:val="1"/>
        </w:numPr>
        <w:spacing w:line="360" w:lineRule="auto"/>
        <w:rPr>
          <w:rFonts w:hint="eastAsia" w:ascii="宋体" w:hAnsi="宋体" w:eastAsia="宋体" w:cs="宋体"/>
          <w:bCs/>
          <w:sz w:val="24"/>
          <w:highlight w:val="none"/>
        </w:rPr>
      </w:pPr>
      <w:r>
        <w:rPr>
          <w:rStyle w:val="7"/>
          <w:rFonts w:ascii="宋体" w:hAnsi="宋体" w:eastAsia="宋体" w:cs="宋体"/>
          <w:b w:val="0"/>
          <w:bCs/>
          <w:sz w:val="24"/>
          <w:highlight w:val="none"/>
        </w:rPr>
        <w:t>提出状态证据驱动的异质角色残差精炼模块</w:t>
      </w:r>
      <w:r>
        <w:rPr>
          <w:rStyle w:val="7"/>
          <w:rFonts w:ascii="Times New Roman" w:hAnsi="Times New Roman" w:eastAsia="宋体" w:cs="Times New Roman"/>
          <w:b w:val="0"/>
          <w:bCs/>
          <w:sz w:val="24"/>
          <w:highlight w:val="none"/>
        </w:rPr>
        <w:t xml:space="preserve"> SERR。</w:t>
      </w:r>
      <w:r>
        <w:rPr>
          <w:rFonts w:ascii="Times New Roman" w:hAnsi="Times New Roman" w:eastAsia="宋体" w:cs="Times New Roman"/>
          <w:bCs/>
          <w:sz w:val="24"/>
          <w:highlight w:val="none"/>
        </w:rPr>
        <w:t xml:space="preserve"> 针对常规模式偏离时预测证据来源异质的问题，SERR 将周期参照、局部</w:t>
      </w:r>
      <w:r>
        <w:rPr>
          <w:rFonts w:ascii="宋体" w:hAnsi="宋体" w:eastAsia="宋体" w:cs="宋体"/>
          <w:bCs/>
          <w:sz w:val="24"/>
          <w:highlight w:val="none"/>
        </w:rPr>
        <w:t>短时变化、有向时滞关联与节点自身演化组织为四类具有不同时间编码和关系支持的角色专家，并将其输出转化为结构化残差，通过固定角色融合与全局可学习强度对基础预测进行精炼。</w:t>
      </w:r>
    </w:p>
    <w:p w14:paraId="2C4E1D43">
      <w:pPr>
        <w:numPr>
          <w:ilvl w:val="0"/>
          <w:numId w:val="1"/>
        </w:numPr>
        <w:spacing w:line="360" w:lineRule="auto"/>
        <w:rPr>
          <w:rFonts w:hint="eastAsia" w:ascii="宋体" w:hAnsi="宋体" w:eastAsia="宋体" w:cs="宋体"/>
          <w:bCs/>
          <w:sz w:val="24"/>
          <w:highlight w:val="none"/>
        </w:rPr>
      </w:pPr>
      <w:r>
        <w:rPr>
          <w:rStyle w:val="7"/>
          <w:rFonts w:ascii="宋体" w:hAnsi="宋体" w:eastAsia="宋体" w:cs="宋体"/>
          <w:b w:val="0"/>
          <w:bCs/>
          <w:sz w:val="24"/>
          <w:highlight w:val="none"/>
        </w:rPr>
        <w:t xml:space="preserve">提出背景条件化的联合历史消息选择模块 </w:t>
      </w:r>
      <w:r>
        <w:rPr>
          <w:rStyle w:val="7"/>
          <w:rFonts w:ascii="Times New Roman" w:hAnsi="Times New Roman" w:eastAsia="宋体" w:cs="Times New Roman"/>
          <w:b w:val="0"/>
          <w:bCs/>
          <w:sz w:val="24"/>
          <w:highlight w:val="none"/>
        </w:rPr>
        <w:t>BCMS。</w:t>
      </w:r>
      <w:r>
        <w:rPr>
          <w:rFonts w:ascii="Times New Roman" w:hAnsi="Times New Roman" w:eastAsia="宋体" w:cs="Times New Roman"/>
          <w:bCs/>
          <w:sz w:val="24"/>
          <w:highlight w:val="none"/>
        </w:rPr>
        <w:t xml:space="preserve"> 针对跨区域历史信息的有效性随流量背景和预测时距变化的问题，BCMS 利</w:t>
      </w:r>
      <w:r>
        <w:rPr>
          <w:rFonts w:ascii="宋体" w:hAnsi="宋体" w:eastAsia="宋体" w:cs="宋体"/>
          <w:bCs/>
          <w:sz w:val="24"/>
          <w:highlight w:val="none"/>
        </w:rPr>
        <w:t>用低频背景调制高频多尺度模式匹配，并将候选邻居、历史时滞、时间尺度和预测步统一纳入消息评分，实现“邻居—时滞—尺度”组合的联合选择；同时通过零消息候选调节跨区域信息的总体引入程度，从而形成具有条件针对性的多步残差补充。</w:t>
      </w:r>
    </w:p>
    <w:p w14:paraId="47FF13B9">
      <w:pPr>
        <w:numPr>
          <w:ilvl w:val="0"/>
          <w:numId w:val="2"/>
        </w:numPr>
        <w:rPr>
          <w:rFonts w:hint="eastAsia" w:ascii="黑体" w:hAnsi="黑体" w:eastAsia="黑体" w:cs="黑体"/>
          <w:sz w:val="28"/>
          <w:szCs w:val="28"/>
          <w:highlight w:val="none"/>
        </w:rPr>
      </w:pPr>
      <w:r>
        <w:rPr>
          <w:rFonts w:hint="eastAsia" w:ascii="黑体" w:hAnsi="黑体" w:eastAsia="黑体" w:cs="黑体"/>
          <w:sz w:val="28"/>
          <w:szCs w:val="28"/>
          <w:highlight w:val="none"/>
        </w:rPr>
        <w:t>相关工作</w:t>
      </w:r>
    </w:p>
    <w:p w14:paraId="71774404">
      <w:pPr>
        <w:numPr>
          <w:ilvl w:val="1"/>
          <w:numId w:val="1"/>
        </w:numPr>
        <w:rPr>
          <w:rFonts w:hint="eastAsia" w:ascii="黑体" w:hAnsi="黑体" w:eastAsia="黑体" w:cs="黑体"/>
          <w:sz w:val="28"/>
          <w:szCs w:val="28"/>
          <w:highlight w:val="none"/>
        </w:rPr>
      </w:pPr>
      <w:r>
        <w:rPr>
          <w:rFonts w:hint="eastAsia" w:ascii="黑体" w:hAnsi="黑体" w:eastAsia="黑体" w:cs="黑体"/>
          <w:sz w:val="28"/>
          <w:szCs w:val="28"/>
          <w:highlight w:val="none"/>
        </w:rPr>
        <w:t>时空建模与频率解耦</w:t>
      </w:r>
    </w:p>
    <w:p w14:paraId="72BC8B0C">
      <w:pPr>
        <w:pStyle w:val="4"/>
        <w:widowControl/>
        <w:spacing w:beforeAutospacing="0" w:afterAutospacing="0" w:line="360" w:lineRule="auto"/>
        <w:ind w:firstLine="480" w:firstLineChars="200"/>
        <w:rPr>
          <w:rFonts w:ascii="Times New Roman" w:hAnsi="Times New Roman" w:eastAsia="宋体"/>
          <w:kern w:val="2"/>
          <w:highlight w:val="none"/>
        </w:rPr>
      </w:pPr>
      <w:r>
        <w:rPr>
          <w:rFonts w:ascii="宋体" w:hAnsi="宋体" w:eastAsia="宋体" w:cs="宋体"/>
          <w:kern w:val="2"/>
          <w:highlight w:val="none"/>
        </w:rPr>
        <w:t>交通流预测的核心任务是在复杂空间依赖和动态时间变化之间建立有效映射。基于图神经网络的方法通过显式建模道路节点之间的关联关系，成为交通预测的重要研究方向。</w:t>
      </w:r>
      <w:r>
        <w:rPr>
          <w:rFonts w:ascii="Times New Roman" w:hAnsi="Times New Roman" w:eastAsia="宋体"/>
          <w:kern w:val="2"/>
          <w:highlight w:val="none"/>
        </w:rPr>
        <w:t>DCRNN 将交通状态传播建模为有向图上的扩散过程，并结合扩散卷积与循环神经网络捕获空间传播和时间演化规律</w:t>
      </w:r>
      <w:r>
        <w:rPr>
          <w:rFonts w:ascii="Times New Roman" w:hAnsi="Times New Roman" w:eastAsia="宋体"/>
          <w:kern w:val="2"/>
          <w:highlight w:val="none"/>
          <w:vertAlign w:val="superscript"/>
        </w:rPr>
        <w:t xml:space="preserve"> [1]</w:t>
      </w:r>
      <w:r>
        <w:rPr>
          <w:rFonts w:ascii="Times New Roman" w:hAnsi="Times New Roman" w:eastAsia="宋体"/>
          <w:kern w:val="2"/>
          <w:highlight w:val="none"/>
        </w:rPr>
        <w:t xml:space="preserve">。STGCN 进一步将图卷积与时间卷积结合，实现高效的时空特征提取 </w:t>
      </w:r>
      <w:r>
        <w:rPr>
          <w:rFonts w:ascii="Times New Roman" w:hAnsi="Times New Roman" w:eastAsia="宋体"/>
          <w:kern w:val="2"/>
          <w:highlight w:val="none"/>
          <w:vertAlign w:val="superscript"/>
        </w:rPr>
        <w:t>[2]</w:t>
      </w:r>
      <w:r>
        <w:rPr>
          <w:rFonts w:ascii="Times New Roman" w:hAnsi="Times New Roman" w:eastAsia="宋体"/>
          <w:kern w:val="2"/>
          <w:highlight w:val="none"/>
        </w:rPr>
        <w:t>。Graph WaveNet 通过自适应邻接矩阵学习潜在空间关系，并利用扩张时间卷积扩大时间感受野，从而突破预定义拓扑限制</w:t>
      </w:r>
      <w:r>
        <w:rPr>
          <w:rFonts w:ascii="Times New Roman" w:hAnsi="Times New Roman" w:eastAsia="宋体"/>
          <w:kern w:val="2"/>
          <w:highlight w:val="none"/>
          <w:vertAlign w:val="superscript"/>
        </w:rPr>
        <w:t xml:space="preserve"> [3]</w:t>
      </w:r>
      <w:r>
        <w:rPr>
          <w:rFonts w:ascii="Times New Roman" w:hAnsi="Times New Roman" w:eastAsia="宋体"/>
          <w:kern w:val="2"/>
          <w:highlight w:val="none"/>
        </w:rPr>
        <w:t>。这些研究建立了交通预测中空间关系建模</w:t>
      </w:r>
      <w:r>
        <w:rPr>
          <w:rFonts w:hint="eastAsia" w:ascii="Times New Roman" w:hAnsi="Times New Roman" w:eastAsia="宋体"/>
          <w:kern w:val="2"/>
          <w:highlight w:val="none"/>
        </w:rPr>
        <w:t>与</w:t>
      </w:r>
      <w:r>
        <w:rPr>
          <w:rFonts w:ascii="Times New Roman" w:hAnsi="Times New Roman" w:eastAsia="宋体"/>
          <w:kern w:val="2"/>
          <w:highlight w:val="none"/>
        </w:rPr>
        <w:t>时间序列编码的基本范式。</w:t>
      </w:r>
    </w:p>
    <w:p w14:paraId="61932B04">
      <w:pPr>
        <w:pStyle w:val="4"/>
        <w:widowControl/>
        <w:spacing w:beforeAutospacing="0" w:afterAutospacing="0" w:line="360" w:lineRule="auto"/>
        <w:ind w:firstLine="480" w:firstLineChars="200"/>
        <w:rPr>
          <w:rFonts w:ascii="Times New Roman" w:hAnsi="Times New Roman" w:eastAsia="宋体"/>
          <w:kern w:val="2"/>
          <w:highlight w:val="none"/>
        </w:rPr>
      </w:pPr>
      <w:r>
        <w:rPr>
          <w:rFonts w:ascii="Times New Roman" w:hAnsi="Times New Roman" w:eastAsia="宋体"/>
          <w:kern w:val="2"/>
          <w:highlight w:val="none"/>
        </w:rPr>
        <w:t xml:space="preserve">随后，研究者进一步从动态空间关系和多尺度交互角度增强时空建模能力。ASTGCN 和 GMAN 分别利用空间—时间注意力机制动态刻画节点间相关性，使模型能够关注不同时间和空间位置的重要信息 </w:t>
      </w:r>
      <w:r>
        <w:rPr>
          <w:rFonts w:ascii="Times New Roman" w:hAnsi="Times New Roman" w:eastAsia="宋体"/>
          <w:kern w:val="2"/>
          <w:highlight w:val="none"/>
          <w:vertAlign w:val="superscript"/>
        </w:rPr>
        <w:t>[4], [5]</w:t>
      </w:r>
      <w:r>
        <w:rPr>
          <w:rFonts w:ascii="Times New Roman" w:hAnsi="Times New Roman" w:eastAsia="宋体"/>
          <w:kern w:val="2"/>
          <w:highlight w:val="none"/>
        </w:rPr>
        <w:t>。MTGNN 和 AGCRN 通过数据驱动方式学习节点间关系，降低了对人工构建邻接矩阵的依赖</w:t>
      </w:r>
      <w:r>
        <w:rPr>
          <w:rFonts w:ascii="Times New Roman" w:hAnsi="Times New Roman" w:eastAsia="宋体"/>
          <w:kern w:val="2"/>
          <w:highlight w:val="none"/>
          <w:vertAlign w:val="superscript"/>
        </w:rPr>
        <w:t xml:space="preserve"> [6], [7]</w:t>
      </w:r>
      <w:r>
        <w:rPr>
          <w:rFonts w:ascii="Times New Roman" w:hAnsi="Times New Roman" w:eastAsia="宋体"/>
          <w:kern w:val="2"/>
          <w:highlight w:val="none"/>
        </w:rPr>
        <w:t xml:space="preserve">。STSGCN 和 STFGNN 则从时空同步建模以及多尺度时空融合角度进一步提升复杂交通模式的表达能力 </w:t>
      </w:r>
      <w:r>
        <w:rPr>
          <w:rFonts w:ascii="Times New Roman" w:hAnsi="Times New Roman" w:eastAsia="宋体"/>
          <w:kern w:val="2"/>
          <w:highlight w:val="none"/>
          <w:vertAlign w:val="superscript"/>
        </w:rPr>
        <w:t>[8], [9]</w:t>
      </w:r>
      <w:r>
        <w:rPr>
          <w:rFonts w:ascii="Times New Roman" w:hAnsi="Times New Roman" w:eastAsia="宋体"/>
          <w:kern w:val="2"/>
          <w:highlight w:val="none"/>
        </w:rPr>
        <w:t>。这些方法有效增强了空间依赖学习能力，但其核心仍主要围绕统一时空表示学习展开。</w:t>
      </w:r>
    </w:p>
    <w:p w14:paraId="31D917B5">
      <w:pPr>
        <w:pStyle w:val="4"/>
        <w:widowControl/>
        <w:spacing w:beforeAutospacing="0" w:afterAutospacing="0" w:line="360" w:lineRule="auto"/>
        <w:ind w:firstLine="480" w:firstLineChars="200"/>
        <w:rPr>
          <w:rFonts w:ascii="Times New Roman" w:hAnsi="Times New Roman" w:eastAsia="宋体"/>
          <w:kern w:val="2"/>
          <w:highlight w:val="none"/>
        </w:rPr>
      </w:pPr>
      <w:r>
        <w:rPr>
          <w:rFonts w:ascii="Times New Roman" w:hAnsi="Times New Roman" w:eastAsia="宋体"/>
          <w:kern w:val="2"/>
          <w:highlight w:val="none"/>
        </w:rPr>
        <w:t>近年来，频率解耦方法进一步关注交通序列中不同时间动态的差异性。STWave 利用小波分解将交通信号划分为不同频率成分，并分别学习其时空依赖关系，从而减少不同动态模式之间的相互干扰</w:t>
      </w:r>
      <w:r>
        <w:rPr>
          <w:rFonts w:ascii="Times New Roman" w:hAnsi="Times New Roman" w:eastAsia="宋体"/>
          <w:kern w:val="2"/>
          <w:highlight w:val="none"/>
          <w:vertAlign w:val="superscript"/>
        </w:rPr>
        <w:t xml:space="preserve"> [10]</w:t>
      </w:r>
      <w:r>
        <w:rPr>
          <w:rFonts w:ascii="Times New Roman" w:hAnsi="Times New Roman" w:eastAsia="宋体"/>
          <w:kern w:val="2"/>
          <w:highlight w:val="none"/>
        </w:rPr>
        <w:t xml:space="preserve">。TEDDCF 则进一步区分趋势分量与事件分量，并为低频趋势和高频事件设计独立的时间与空间编码路径 </w:t>
      </w:r>
      <w:r>
        <w:rPr>
          <w:rFonts w:ascii="Times New Roman" w:hAnsi="Times New Roman" w:eastAsia="宋体"/>
          <w:kern w:val="2"/>
          <w:highlight w:val="none"/>
          <w:vertAlign w:val="superscript"/>
        </w:rPr>
        <w:t>[11]</w:t>
      </w:r>
      <w:r>
        <w:rPr>
          <w:rFonts w:ascii="Times New Roman" w:hAnsi="Times New Roman" w:eastAsia="宋体"/>
          <w:kern w:val="2"/>
          <w:highlight w:val="none"/>
        </w:rPr>
        <w:t>。这类方法表明，交通流中的稳定演化规律与快速变化模式具有不同的统计特征，需要通过差异化建模方式进行刻画。</w:t>
      </w:r>
    </w:p>
    <w:p w14:paraId="1C99DC92">
      <w:pPr>
        <w:pStyle w:val="4"/>
        <w:widowControl/>
        <w:spacing w:beforeAutospacing="0" w:afterAutospacing="0" w:line="360" w:lineRule="auto"/>
        <w:ind w:firstLine="480" w:firstLineChars="200"/>
        <w:rPr>
          <w:rFonts w:ascii="Times New Roman" w:hAnsi="Times New Roman" w:eastAsia="宋体"/>
          <w:kern w:val="2"/>
          <w:highlight w:val="none"/>
        </w:rPr>
      </w:pPr>
      <w:r>
        <w:rPr>
          <w:rFonts w:ascii="Times New Roman" w:hAnsi="Times New Roman" w:eastAsia="宋体"/>
          <w:kern w:val="2"/>
          <w:highlight w:val="none"/>
        </w:rPr>
        <w:t>然而，现有时空建模与频率解耦方法主要关注如何获得更具表达能力的基础时空表示，而对于当交通状态偏离常规模式后，如何利用不同来源的补充信息进一步修正预测结果仍缺少深入研究。</w:t>
      </w:r>
    </w:p>
    <w:p w14:paraId="68F932DF">
      <w:pPr>
        <w:numPr>
          <w:ilvl w:val="1"/>
          <w:numId w:val="1"/>
        </w:numPr>
        <w:rPr>
          <w:rFonts w:hint="eastAsia" w:ascii="黑体" w:hAnsi="黑体" w:eastAsia="黑体" w:cs="黑体"/>
          <w:sz w:val="28"/>
          <w:szCs w:val="28"/>
          <w:highlight w:val="none"/>
        </w:rPr>
      </w:pPr>
      <w:r>
        <w:rPr>
          <w:rFonts w:hint="eastAsia" w:ascii="黑体" w:hAnsi="黑体" w:eastAsia="黑体" w:cs="黑体"/>
          <w:sz w:val="28"/>
          <w:szCs w:val="28"/>
          <w:highlight w:val="none"/>
        </w:rPr>
        <w:t>异质证据与专家建模</w:t>
      </w:r>
    </w:p>
    <w:p w14:paraId="692EAF94">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交通流演化通常同时包含周期规律、趋势变化、局部扰动以及节点特定行为，因此利用不同结构组件刻画异质动态成为重要研究方向。ST-ResNet 将城市人群流动划分为时间邻近性、周期性和趋势性因素，并采用多个残差分支分别进行建模</w:t>
      </w:r>
      <w:r>
        <w:rPr>
          <w:rFonts w:ascii="Times New Roman" w:hAnsi="Times New Roman"/>
          <w:highlight w:val="none"/>
          <w:vertAlign w:val="superscript"/>
        </w:rPr>
        <w:t xml:space="preserve"> [12]</w:t>
      </w:r>
      <w:r>
        <w:rPr>
          <w:rFonts w:ascii="Times New Roman" w:hAnsi="Times New Roman"/>
          <w:highlight w:val="none"/>
        </w:rPr>
        <w:t>。该方法证明了不同时间模式具有不同预测作用。</w:t>
      </w:r>
    </w:p>
    <w:p w14:paraId="79BECD9A">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 xml:space="preserve">进一步地，部分研究开始探索通过解耦或专家机制显式区分不同交通动态。D2STGNN 通过解耦扩散信号与内在信号，使不同来源的交通变化能够分别建模，并增强模型对复杂动态的表达能力 </w:t>
      </w:r>
      <w:r>
        <w:rPr>
          <w:rFonts w:ascii="Times New Roman" w:hAnsi="Times New Roman"/>
          <w:highlight w:val="none"/>
          <w:vertAlign w:val="superscript"/>
        </w:rPr>
        <w:t>[13]</w:t>
      </w:r>
      <w:r>
        <w:rPr>
          <w:rFonts w:ascii="Times New Roman" w:hAnsi="Times New Roman"/>
          <w:highlight w:val="none"/>
        </w:rPr>
        <w:t xml:space="preserve">。TESTAM 则设计时间专家、静态图专家和动态图专家，并通过专家路由机制根据输入状态选择不同专家组合，以适应交通动态变化 </w:t>
      </w:r>
      <w:r>
        <w:rPr>
          <w:rFonts w:ascii="Times New Roman" w:hAnsi="Times New Roman"/>
          <w:highlight w:val="none"/>
          <w:vertAlign w:val="superscript"/>
        </w:rPr>
        <w:t>[14]</w:t>
      </w:r>
      <w:r>
        <w:rPr>
          <w:rFonts w:ascii="Times New Roman" w:hAnsi="Times New Roman"/>
          <w:highlight w:val="none"/>
        </w:rPr>
        <w:t>。</w:t>
      </w:r>
    </w:p>
    <w:p w14:paraId="66799A70">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上述研究表明，交通预测中的不同动态因素具有不同作用机制，采用具有专门归纳偏置的结构能够提升模型对复杂交通模式的建模能力。然而，现有专家化方法主要关注</w:t>
      </w:r>
      <w:r>
        <w:rPr>
          <w:rStyle w:val="7"/>
          <w:rFonts w:ascii="Times New Roman" w:hAnsi="Times New Roman"/>
          <w:b w:val="0"/>
          <w:highlight w:val="none"/>
        </w:rPr>
        <w:t>如何根据输入状态选择或融合不同专家</w:t>
      </w:r>
      <w:r>
        <w:rPr>
          <w:rFonts w:ascii="Times New Roman" w:hAnsi="Times New Roman"/>
          <w:highlight w:val="none"/>
        </w:rPr>
        <w:t>，其目标通常是获得更加灵活的整体表示，而不是围绕</w:t>
      </w:r>
      <w:r>
        <w:rPr>
          <w:rFonts w:hint="eastAsia" w:ascii="Times New Roman" w:hAnsi="Times New Roman"/>
          <w:highlight w:val="none"/>
        </w:rPr>
        <w:t>“</w:t>
      </w:r>
      <w:r>
        <w:rPr>
          <w:rFonts w:ascii="Times New Roman" w:hAnsi="Times New Roman"/>
          <w:highlight w:val="none"/>
        </w:rPr>
        <w:t>预测修正</w:t>
      </w:r>
      <w:r>
        <w:rPr>
          <w:rFonts w:hint="eastAsia" w:ascii="Times New Roman" w:hAnsi="Times New Roman"/>
          <w:highlight w:val="none"/>
        </w:rPr>
        <w:t>”</w:t>
      </w:r>
      <w:r>
        <w:rPr>
          <w:rFonts w:ascii="Times New Roman" w:hAnsi="Times New Roman"/>
          <w:highlight w:val="none"/>
        </w:rPr>
        <w:t>任务组织证据。</w:t>
      </w:r>
    </w:p>
    <w:p w14:paraId="20830C4D">
      <w:pPr>
        <w:pStyle w:val="4"/>
        <w:widowControl/>
        <w:spacing w:beforeAutospacing="0" w:afterAutospacing="0" w:line="360" w:lineRule="auto"/>
        <w:ind w:firstLine="480" w:firstLineChars="200"/>
        <w:rPr>
          <w:rFonts w:ascii="Times New Roman" w:hAnsi="Times New Roman" w:eastAsia="宋体"/>
          <w:kern w:val="2"/>
          <w:highlight w:val="none"/>
        </w:rPr>
      </w:pPr>
      <w:r>
        <w:rPr>
          <w:rFonts w:ascii="Times New Roman" w:hAnsi="Times New Roman"/>
          <w:highlight w:val="none"/>
        </w:rPr>
        <w:t>对于交通状态偏离常规模式的情境，关键问题并非简单判断使用哪个专家，而是明确不同预测证据承担的修正角色。例如，周期模式用于提供稳定参照，局部变化用于捕获短时扰动，有向时滞关系用于描述跨区域历史关联，而节点自身演化用于保持局部连续性。这些证据具有不同时间语义和空间关系，需要采用不同的处理路径。</w:t>
      </w:r>
    </w:p>
    <w:p w14:paraId="593D6CFE">
      <w:pPr>
        <w:numPr>
          <w:ilvl w:val="1"/>
          <w:numId w:val="1"/>
        </w:numPr>
        <w:rPr>
          <w:rFonts w:hint="eastAsia" w:ascii="黑体" w:hAnsi="黑体" w:eastAsia="黑体" w:cs="黑体"/>
          <w:sz w:val="28"/>
          <w:szCs w:val="28"/>
          <w:highlight w:val="none"/>
        </w:rPr>
      </w:pPr>
      <w:r>
        <w:rPr>
          <w:rFonts w:hint="eastAsia" w:ascii="黑体" w:hAnsi="黑体" w:eastAsia="黑体" w:cs="黑体"/>
          <w:sz w:val="28"/>
          <w:szCs w:val="28"/>
          <w:highlight w:val="none"/>
        </w:rPr>
        <w:t>动态依赖与历史消息选择</w:t>
      </w:r>
    </w:p>
    <w:p w14:paraId="39854E2F">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 xml:space="preserve">除了异质时间模式建模外，交通预测还需要考虑空间关系随时间变化以及跨区域历史信息的有效利用。注意力机制为动态依赖学习提供了一种数据驱动方式。GMAN 通过空间注意力和时间注意力捕获节点间动态相关性，并利用转换注意力建立历史状态与未来预测之间的关联 </w:t>
      </w:r>
      <w:r>
        <w:rPr>
          <w:rFonts w:ascii="Times New Roman" w:hAnsi="Times New Roman"/>
          <w:highlight w:val="none"/>
          <w:vertAlign w:val="superscript"/>
        </w:rPr>
        <w:t>[15]</w:t>
      </w:r>
      <w:r>
        <w:rPr>
          <w:rFonts w:ascii="Times New Roman" w:hAnsi="Times New Roman"/>
          <w:highlight w:val="none"/>
        </w:rPr>
        <w:t xml:space="preserve">。PDFormer 则进一步考虑交通传播过程中的时延因素，通过延迟感知特征变换建模动态长程空间依赖 </w:t>
      </w:r>
      <w:r>
        <w:rPr>
          <w:rFonts w:ascii="Times New Roman" w:hAnsi="Times New Roman"/>
          <w:highlight w:val="none"/>
          <w:vertAlign w:val="superscript"/>
        </w:rPr>
        <w:t>[16]</w:t>
      </w:r>
      <w:r>
        <w:rPr>
          <w:rFonts w:ascii="Times New Roman" w:hAnsi="Times New Roman"/>
          <w:highlight w:val="none"/>
        </w:rPr>
        <w:t>。这些研究说明，交通关系不仅由空间距离决定，还受到时间对齐和传播延迟影响。</w:t>
      </w:r>
    </w:p>
    <w:p w14:paraId="74400C5F">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 xml:space="preserve">与此同时，自适应图学习方法进一步探索动态空间结构。MTGNN、AGCRN 等方法通过学习节点关系替代固定邻接矩阵，使模型能够捕获潜在空间关联 </w:t>
      </w:r>
      <w:r>
        <w:rPr>
          <w:rFonts w:ascii="Times New Roman" w:hAnsi="Times New Roman"/>
          <w:highlight w:val="none"/>
          <w:vertAlign w:val="superscript"/>
        </w:rPr>
        <w:t>[6], [7]</w:t>
      </w:r>
      <w:r>
        <w:rPr>
          <w:rFonts w:ascii="Times New Roman" w:hAnsi="Times New Roman"/>
          <w:highlight w:val="none"/>
        </w:rPr>
        <w:t>。然而，这类方法通常关注节点关系的生成或调整，而较少进一步区分：在当前交通背景和预测时距条件下，某一历史消息是否真正具有预测价值。</w:t>
      </w:r>
    </w:p>
    <w:p w14:paraId="76DA1814">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事实上，跨区域历史信息的有效性具有明显的条件依赖性。同一邻居区域可能在不同历史时滞、不同时间尺度以及不同预测步下表现出不同参考价值。因此，跨区域建模不仅需要回答</w:t>
      </w:r>
      <w:r>
        <w:rPr>
          <w:rFonts w:hint="eastAsia" w:ascii="Times New Roman" w:hAnsi="Times New Roman"/>
          <w:highlight w:val="none"/>
        </w:rPr>
        <w:t>“</w:t>
      </w:r>
      <w:r>
        <w:rPr>
          <w:rFonts w:ascii="Times New Roman" w:hAnsi="Times New Roman"/>
          <w:highlight w:val="none"/>
        </w:rPr>
        <w:t>哪些区域相关</w:t>
      </w:r>
      <w:r>
        <w:rPr>
          <w:rFonts w:hint="eastAsia" w:ascii="Times New Roman" w:hAnsi="Times New Roman"/>
          <w:highlight w:val="none"/>
        </w:rPr>
        <w:t>”</w:t>
      </w:r>
      <w:r>
        <w:rPr>
          <w:rFonts w:ascii="Times New Roman" w:hAnsi="Times New Roman"/>
          <w:highlight w:val="none"/>
        </w:rPr>
        <w:t>，还需要回答</w:t>
      </w:r>
      <w:r>
        <w:rPr>
          <w:rFonts w:hint="eastAsia" w:ascii="Times New Roman" w:hAnsi="Times New Roman"/>
          <w:highlight w:val="none"/>
        </w:rPr>
        <w:t>“</w:t>
      </w:r>
      <w:r>
        <w:rPr>
          <w:rFonts w:ascii="Times New Roman" w:hAnsi="Times New Roman"/>
          <w:highlight w:val="none"/>
        </w:rPr>
        <w:t>哪些历史模式应该被选择，以及选择程度如何随预测目标变化</w:t>
      </w:r>
      <w:r>
        <w:rPr>
          <w:rFonts w:hint="eastAsia" w:ascii="Times New Roman" w:hAnsi="Times New Roman"/>
          <w:highlight w:val="none"/>
        </w:rPr>
        <w:t>”</w:t>
      </w:r>
      <w:r>
        <w:rPr>
          <w:rFonts w:ascii="Times New Roman" w:hAnsi="Times New Roman"/>
          <w:highlight w:val="none"/>
        </w:rPr>
        <w:t>。</w:t>
      </w:r>
    </w:p>
    <w:p w14:paraId="164E694A">
      <w:pPr>
        <w:numPr>
          <w:ilvl w:val="0"/>
          <w:numId w:val="2"/>
        </w:numPr>
        <w:rPr>
          <w:rFonts w:hint="eastAsia" w:ascii="黑体" w:hAnsi="黑体" w:eastAsia="黑体" w:cs="黑体"/>
          <w:sz w:val="28"/>
          <w:szCs w:val="28"/>
          <w:highlight w:val="none"/>
        </w:rPr>
      </w:pPr>
      <w:r>
        <w:rPr>
          <w:rFonts w:hint="eastAsia" w:ascii="黑体" w:hAnsi="黑体" w:eastAsia="黑体" w:cs="黑体"/>
          <w:sz w:val="28"/>
          <w:szCs w:val="28"/>
          <w:highlight w:val="none"/>
        </w:rPr>
        <w:t>问题定义</w:t>
      </w:r>
    </w:p>
    <w:p w14:paraId="4A3DF362">
      <w:pPr>
        <w:pStyle w:val="4"/>
        <w:widowControl/>
        <w:spacing w:beforeAutospacing="0" w:afterAutospacing="0" w:line="360" w:lineRule="auto"/>
        <w:ind w:firstLine="480" w:firstLineChars="200"/>
        <w:rPr>
          <w:rFonts w:ascii="Times New Roman" w:hAnsi="Times New Roman"/>
          <w:highlight w:val="none"/>
        </w:rPr>
      </w:pPr>
      <w:r>
        <w:rPr>
          <w:rFonts w:ascii="Times New Roman" w:hAnsi="Times New Roman"/>
          <w:highlight w:val="none"/>
        </w:rPr>
        <w:t>将研究区域划分为</w:t>
      </w:r>
      <m:oMath>
        <m:r>
          <m:rPr/>
          <w:rPr>
            <w:rFonts w:ascii="Cambria Math" w:hAnsi="Cambria Math"/>
            <w:highlight w:val="none"/>
          </w:rPr>
          <m:t>N</m:t>
        </m:r>
      </m:oMath>
      <w:r>
        <w:rPr>
          <w:rFonts w:ascii="Times New Roman" w:hAnsi="Times New Roman"/>
          <w:highlight w:val="none"/>
        </w:rPr>
        <w:t>个空间单元，并将每个空间单元视为一个预测节点。对于给定的交通流类型，记时刻</w:t>
      </w:r>
      <m:oMath>
        <m:r>
          <m:rPr/>
          <w:rPr>
            <w:rFonts w:ascii="Cambria Math" w:hAnsi="Cambria Math"/>
            <w:highlight w:val="none"/>
          </w:rPr>
          <m:t>t</m:t>
        </m:r>
      </m:oMath>
      <w:r>
        <w:rPr>
          <w:rFonts w:ascii="Times New Roman" w:hAnsi="Times New Roman"/>
          <w:highlight w:val="none"/>
        </w:rPr>
        <w:t>的区域流量为：</w:t>
      </w:r>
      <w:r>
        <w:rPr>
          <w:highlight w:val="none"/>
        </w:rPr>
        <w:tab/>
      </w:r>
      <w:r>
        <w:rPr>
          <w:highlight w:val="none"/>
        </w:rPr>
        <w:br w:type="textWrapping"/>
      </w:r>
      <m:oMathPara>
        <m:oMath>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r>
            <m:rPr/>
            <w:rPr>
              <w:rFonts w:ascii="Cambria Math" w:hAnsi="Cambria Math"/>
              <w:highlight w:val="none"/>
            </w:rPr>
            <m:t>∈</m:t>
          </m:r>
          <m:sSup>
            <m:sSupPr>
              <m:ctrlPr>
                <w:rPr>
                  <w:rFonts w:ascii="Cambria Math" w:hAnsi="Cambria Math"/>
                  <w:highlight w:val="none"/>
                </w:rPr>
              </m:ctrlPr>
            </m:sSupPr>
            <m:e>
              <m:r>
                <m:rPr>
                  <m:scr m:val="double-struck"/>
                </m:rPr>
                <w:rPr>
                  <w:rFonts w:ascii="Cambria Math" w:hAnsi="Cambria Math"/>
                  <w:highlight w:val="none"/>
                </w:rPr>
                <m:t>ℝ</m:t>
              </m:r>
              <m:ctrlPr>
                <w:rPr>
                  <w:rFonts w:ascii="Cambria Math" w:hAnsi="Cambria Math"/>
                  <w:highlight w:val="none"/>
                </w:rPr>
              </m:ctrlPr>
            </m:e>
            <m:sup>
              <m:r>
                <m:rPr/>
                <w:rPr>
                  <w:rFonts w:ascii="Cambria Math" w:hAnsi="Cambria Math"/>
                  <w:highlight w:val="none"/>
                </w:rPr>
                <m:t>N×1</m:t>
              </m:r>
              <m:ctrlPr>
                <w:rPr>
                  <w:rFonts w:ascii="Cambria Math" w:hAnsi="Cambria Math"/>
                  <w:highlight w:val="none"/>
                </w:rPr>
              </m:ctrlPr>
            </m:sup>
          </m:sSup>
        </m:oMath>
      </m:oMathPara>
    </w:p>
    <w:p w14:paraId="70B17921">
      <w:pPr>
        <w:widowControl/>
        <w:spacing w:line="360" w:lineRule="auto"/>
        <w:ind w:firstLine="480" w:firstLineChars="200"/>
        <w:jc w:val="left"/>
        <w:rPr>
          <w:rFonts w:ascii="Times New Roman" w:hAnsi="Times New Roman" w:cs="Times New Roman"/>
          <w:kern w:val="0"/>
          <w:sz w:val="24"/>
          <w:highlight w:val="none"/>
        </w:rPr>
      </w:pPr>
      <w:r>
        <w:rPr>
          <w:rFonts w:ascii="Times New Roman" w:hAnsi="Times New Roman" w:cs="Times New Roman"/>
          <w:kern w:val="0"/>
          <w:sz w:val="24"/>
          <w:highlight w:val="none"/>
        </w:rPr>
        <w:t>其中第</w:t>
      </w:r>
      <m:oMath>
        <m:r>
          <m:rPr/>
          <w:rPr>
            <w:rFonts w:ascii="Cambria Math" w:hAnsi="Cambria Math" w:cs="Times New Roman"/>
            <w:kern w:val="0"/>
            <w:sz w:val="24"/>
            <w:highlight w:val="none"/>
          </w:rPr>
          <m:t>i</m:t>
        </m:r>
      </m:oMath>
      <w:r>
        <w:rPr>
          <w:rFonts w:ascii="Times New Roman" w:hAnsi="Times New Roman" w:cs="Times New Roman"/>
          <w:kern w:val="0"/>
          <w:sz w:val="24"/>
          <w:highlight w:val="none"/>
        </w:rPr>
        <w:t xml:space="preserve">个元素表示节点 </w:t>
      </w:r>
      <m:oMath>
        <m:r>
          <m:rPr/>
          <w:rPr>
            <w:rFonts w:ascii="Cambria Math" w:hAnsi="Cambria Math" w:cs="Times New Roman"/>
            <w:kern w:val="0"/>
            <w:sz w:val="24"/>
            <w:highlight w:val="none"/>
          </w:rPr>
          <m:t>i</m:t>
        </m:r>
      </m:oMath>
      <w:r>
        <w:rPr>
          <w:rFonts w:ascii="Times New Roman" w:hAnsi="Times New Roman" w:cs="Times New Roman"/>
          <w:kern w:val="0"/>
          <w:sz w:val="24"/>
          <w:highlight w:val="none"/>
        </w:rPr>
        <w:t>在该采样时间段内的交通流量。本文分别针对不同流量类型建立预测模型。给定长度为</w:t>
      </w:r>
      <m:oMath>
        <m:r>
          <m:rPr/>
          <w:rPr>
            <w:rFonts w:ascii="Cambria Math" w:hAnsi="Cambria Math" w:cs="Times New Roman"/>
            <w:kern w:val="0"/>
            <w:sz w:val="24"/>
            <w:highlight w:val="none"/>
          </w:rPr>
          <m:t>T</m:t>
        </m:r>
      </m:oMath>
      <w:r>
        <w:rPr>
          <w:rFonts w:ascii="Times New Roman" w:hAnsi="Times New Roman" w:cs="Times New Roman"/>
          <w:kern w:val="0"/>
          <w:sz w:val="24"/>
          <w:highlight w:val="none"/>
        </w:rPr>
        <w:t>的历史观测序列：</w:t>
      </w:r>
    </w:p>
    <w:p w14:paraId="62FB6EE2">
      <w:pPr>
        <w:widowControl/>
        <w:spacing w:line="360" w:lineRule="auto"/>
        <w:ind w:firstLine="480" w:firstLineChars="200"/>
        <w:jc w:val="left"/>
        <w:rPr>
          <w:rFonts w:ascii="Times New Roman" w:hAnsi="Times New Roman"/>
          <w:sz w:val="24"/>
          <w:highlight w:val="none"/>
        </w:rPr>
      </w:pPr>
      <m:oMathPara>
        <m:oMath>
          <m:sSub>
            <m:sSubPr>
              <m:ctrlPr>
                <w:rPr>
                  <w:rFonts w:ascii="Cambria Math" w:hAnsi="Cambria Math"/>
                  <w:sz w:val="24"/>
                  <w:highlight w:val="none"/>
                </w:rPr>
              </m:ctrlPr>
            </m:sSubPr>
            <m:e>
              <m:r>
                <m:rPr/>
                <w:rPr>
                  <w:rFonts w:ascii="Cambria Math" w:hAnsi="Cambria Math"/>
                  <w:sz w:val="24"/>
                  <w:highlight w:val="none"/>
                </w:rPr>
                <m:t>X</m:t>
              </m:r>
              <m:ctrlPr>
                <w:rPr>
                  <w:rFonts w:ascii="Cambria Math" w:hAnsi="Cambria Math"/>
                  <w:sz w:val="24"/>
                  <w:highlight w:val="none"/>
                </w:rPr>
              </m:ctrlPr>
            </m:e>
            <m:sub>
              <m:r>
                <m:rPr/>
                <w:rPr>
                  <w:rFonts w:ascii="Cambria Math" w:hAnsi="Cambria Math"/>
                  <w:sz w:val="24"/>
                  <w:highlight w:val="none"/>
                </w:rPr>
                <m:t>t−T+1:t</m:t>
              </m:r>
              <m:ctrlPr>
                <w:rPr>
                  <w:rFonts w:ascii="Cambria Math" w:hAnsi="Cambria Math"/>
                  <w:sz w:val="24"/>
                  <w:highlight w:val="none"/>
                </w:rPr>
              </m:ctrlPr>
            </m:sub>
          </m:sSub>
          <m:r>
            <m:rPr/>
            <w:rPr>
              <w:rFonts w:ascii="Cambria Math" w:hAnsi="Cambria Math"/>
              <w:sz w:val="24"/>
              <w:highlight w:val="none"/>
            </w:rPr>
            <m:t>=</m:t>
          </m:r>
          <m:d>
            <m:dPr>
              <m:begChr m:val="["/>
              <m:endChr m:val="]"/>
              <m:ctrlPr>
                <w:rPr>
                  <w:rFonts w:ascii="Cambria Math" w:hAnsi="Cambria Math"/>
                  <w:sz w:val="24"/>
                  <w:highlight w:val="none"/>
                </w:rPr>
              </m:ctrlPr>
            </m:dPr>
            <m:e>
              <m:sSub>
                <m:sSubPr>
                  <m:ctrlPr>
                    <w:rPr>
                      <w:rFonts w:ascii="Cambria Math" w:hAnsi="Cambria Math"/>
                      <w:sz w:val="24"/>
                      <w:highlight w:val="none"/>
                    </w:rPr>
                  </m:ctrlPr>
                </m:sSubPr>
                <m:e>
                  <m:r>
                    <m:rPr/>
                    <w:rPr>
                      <w:rFonts w:ascii="Cambria Math" w:hAnsi="Cambria Math"/>
                      <w:sz w:val="24"/>
                      <w:highlight w:val="none"/>
                    </w:rPr>
                    <m:t>X</m:t>
                  </m:r>
                  <m:ctrlPr>
                    <w:rPr>
                      <w:rFonts w:ascii="Cambria Math" w:hAnsi="Cambria Math"/>
                      <w:sz w:val="24"/>
                      <w:highlight w:val="none"/>
                    </w:rPr>
                  </m:ctrlPr>
                </m:e>
                <m:sub>
                  <m:r>
                    <m:rPr/>
                    <w:rPr>
                      <w:rFonts w:ascii="Cambria Math" w:hAnsi="Cambria Math"/>
                      <w:sz w:val="24"/>
                      <w:highlight w:val="none"/>
                    </w:rPr>
                    <m:t>t−T+1</m:t>
                  </m:r>
                  <m:ctrlPr>
                    <w:rPr>
                      <w:rFonts w:ascii="Cambria Math" w:hAnsi="Cambria Math"/>
                      <w:sz w:val="24"/>
                      <w:highlight w:val="none"/>
                    </w:rPr>
                  </m:ctrlPr>
                </m:sub>
              </m:sSub>
              <m:r>
                <m:rPr/>
                <w:rPr>
                  <w:rFonts w:ascii="Cambria Math" w:hAnsi="Cambria Math"/>
                  <w:sz w:val="24"/>
                  <w:highlight w:val="none"/>
                </w:rPr>
                <m:t>,…,</m:t>
              </m:r>
              <m:sSub>
                <m:sSubPr>
                  <m:ctrlPr>
                    <w:rPr>
                      <w:rFonts w:ascii="Cambria Math" w:hAnsi="Cambria Math"/>
                      <w:sz w:val="24"/>
                      <w:highlight w:val="none"/>
                    </w:rPr>
                  </m:ctrlPr>
                </m:sSubPr>
                <m:e>
                  <m:r>
                    <m:rPr/>
                    <w:rPr>
                      <w:rFonts w:ascii="Cambria Math" w:hAnsi="Cambria Math"/>
                      <w:sz w:val="24"/>
                      <w:highlight w:val="none"/>
                    </w:rPr>
                    <m:t>X</m:t>
                  </m:r>
                  <m:ctrlPr>
                    <w:rPr>
                      <w:rFonts w:ascii="Cambria Math" w:hAnsi="Cambria Math"/>
                      <w:sz w:val="24"/>
                      <w:highlight w:val="none"/>
                    </w:rPr>
                  </m:ctrlPr>
                </m:e>
                <m:sub>
                  <m:r>
                    <m:rPr/>
                    <w:rPr>
                      <w:rFonts w:ascii="Cambria Math" w:hAnsi="Cambria Math"/>
                      <w:sz w:val="24"/>
                      <w:highlight w:val="none"/>
                    </w:rPr>
                    <m:t>t</m:t>
                  </m:r>
                  <m:ctrlPr>
                    <w:rPr>
                      <w:rFonts w:ascii="Cambria Math" w:hAnsi="Cambria Math"/>
                      <w:sz w:val="24"/>
                      <w:highlight w:val="none"/>
                    </w:rPr>
                  </m:ctrlPr>
                </m:sub>
              </m:sSub>
              <m:ctrlPr>
                <w:rPr>
                  <w:rFonts w:ascii="Cambria Math" w:hAnsi="Cambria Math"/>
                  <w:sz w:val="24"/>
                  <w:highlight w:val="none"/>
                </w:rPr>
              </m:ctrlPr>
            </m:e>
          </m:d>
        </m:oMath>
      </m:oMathPara>
    </w:p>
    <w:p w14:paraId="7FC2A81D">
      <w:pPr>
        <w:pStyle w:val="10"/>
        <w:spacing w:line="360" w:lineRule="auto"/>
        <w:ind w:firstLine="480" w:firstLineChars="200"/>
        <w:jc w:val="both"/>
        <w:rPr>
          <w:highlight w:val="none"/>
        </w:rPr>
      </w:pPr>
      <w:r>
        <w:rPr>
          <w:highlight w:val="none"/>
        </w:rPr>
        <w:t xml:space="preserve">目标是预测未来 </w:t>
      </w:r>
      <m:oMath>
        <m:r>
          <m:rPr/>
          <w:rPr>
            <w:rFonts w:ascii="Cambria Math" w:hAnsi="Cambria Math"/>
            <w:highlight w:val="none"/>
          </w:rPr>
          <m:t>H</m:t>
        </m:r>
      </m:oMath>
      <w:r>
        <w:rPr>
          <w:highlight w:val="none"/>
        </w:rPr>
        <w:t>个时间步的流量：</w:t>
      </w:r>
    </w:p>
    <w:p w14:paraId="2F90AF9A">
      <w:pPr>
        <w:pStyle w:val="10"/>
        <w:spacing w:line="360" w:lineRule="auto"/>
        <w:jc w:val="center"/>
        <w:rPr>
          <w:highlight w:val="none"/>
        </w:rPr>
      </w:pPr>
      <w:r>
        <w:rPr>
          <w:position w:val="-4"/>
          <w:highlight w:val="none"/>
        </w:rPr>
        <w:object>
          <v:shape id="_x0000_i1027" o:spt="75" type="#_x0000_t75" style="height:13.95pt;width: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m:oMath>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t+1:t+H</m:t>
            </m:r>
            <m:ctrlPr>
              <w:rPr>
                <w:rFonts w:ascii="Cambria Math" w:hAnsi="Cambria Math"/>
                <w:highlight w:val="none"/>
              </w:rPr>
            </m:ctrlPr>
          </m:sub>
        </m:sSub>
        <m:r>
          <m:rPr/>
          <w:rPr>
            <w:rFonts w:ascii="Cambria Math" w:hAnsi="Cambria Math"/>
            <w:highlight w:val="none"/>
          </w:rPr>
          <m:t>=</m:t>
        </m:r>
        <m:d>
          <m:dPr>
            <m:begChr m:val="["/>
            <m:endChr m:val="]"/>
            <m:ctrlPr>
              <w:rPr>
                <w:rFonts w:ascii="Cambria Math" w:hAnsi="Cambria Math"/>
                <w:highlight w:val="none"/>
              </w:rPr>
            </m:ctrlPr>
          </m:dPr>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t+H</m:t>
                </m:r>
                <m:ctrlPr>
                  <w:rPr>
                    <w:rFonts w:ascii="Cambria Math" w:hAnsi="Cambria Math"/>
                    <w:highlight w:val="none"/>
                  </w:rPr>
                </m:ctrlPr>
              </m:sub>
            </m:sSub>
            <m:ctrlPr>
              <w:rPr>
                <w:rFonts w:ascii="Cambria Math" w:hAnsi="Cambria Math"/>
                <w:highlight w:val="none"/>
              </w:rPr>
            </m:ctrlPr>
          </m:e>
        </m:d>
      </m:oMath>
    </w:p>
    <w:p w14:paraId="2671ACB8">
      <w:pPr>
        <w:pStyle w:val="10"/>
        <w:spacing w:line="360" w:lineRule="auto"/>
        <w:ind w:firstLine="480" w:firstLineChars="200"/>
        <w:jc w:val="both"/>
        <w:rPr>
          <w:highlight w:val="none"/>
        </w:rPr>
      </w:pPr>
      <w:r>
        <w:rPr>
          <w:highlight w:val="none"/>
        </w:rPr>
        <w:t>其中</w:t>
      </w:r>
      <m:oMath>
        <m:r>
          <m:rPr/>
          <w:rPr>
            <w:rFonts w:ascii="Cambria Math" w:hAnsi="Cambria Math"/>
            <w:highlight w:val="none"/>
          </w:rPr>
          <m:t>T</m:t>
        </m:r>
      </m:oMath>
      <w:r>
        <w:rPr>
          <w:highlight w:val="none"/>
        </w:rPr>
        <w:t>和</w:t>
      </w:r>
      <m:oMath>
        <m:r>
          <m:rPr/>
          <w:rPr>
            <w:rFonts w:ascii="Cambria Math" w:hAnsi="Cambria Math"/>
            <w:highlight w:val="none"/>
          </w:rPr>
          <m:t>H</m:t>
        </m:r>
      </m:oMath>
      <w:r>
        <w:rPr>
          <w:highlight w:val="none"/>
        </w:rPr>
        <w:t>分别表示历史输入窗口长度和预测步数。</w:t>
      </w:r>
    </w:p>
    <w:p w14:paraId="3FC9FDA9">
      <w:pPr>
        <w:widowControl/>
        <w:spacing w:line="360" w:lineRule="auto"/>
        <w:ind w:firstLine="480" w:firstLineChars="200"/>
        <w:jc w:val="left"/>
        <w:rPr>
          <w:rFonts w:ascii="Times New Roman" w:hAnsi="Times New Roman" w:cs="Times New Roman"/>
          <w:kern w:val="0"/>
          <w:sz w:val="24"/>
          <w:highlight w:val="none"/>
        </w:rPr>
      </w:pPr>
      <w:r>
        <w:rPr>
          <w:rFonts w:ascii="Times New Roman" w:hAnsi="Times New Roman" w:cs="Times New Roman"/>
          <w:kern w:val="0"/>
          <w:sz w:val="24"/>
          <w:highlight w:val="none"/>
        </w:rPr>
        <w:t>上述任务可表示为学习一个时空映射函数：</w:t>
      </w:r>
    </w:p>
    <w:p w14:paraId="5867F4E1">
      <w:pPr>
        <w:widowControl/>
        <w:spacing w:line="360" w:lineRule="auto"/>
        <w:ind w:firstLine="480" w:firstLineChars="200"/>
        <w:jc w:val="left"/>
        <w:rPr>
          <w:rFonts w:ascii="Times New Roman" w:hAnsi="Times New Roman" w:cs="Times New Roman"/>
          <w:kern w:val="0"/>
          <w:sz w:val="24"/>
          <w:highlight w:val="none"/>
        </w:rPr>
      </w:pPr>
      <m:oMathPara>
        <m:oMath>
          <m:sSub>
            <m:sSubPr>
              <m:ctrlPr>
                <w:rPr>
                  <w:rFonts w:ascii="Cambria Math" w:hAnsi="Cambria Math" w:cs="Times New Roman"/>
                  <w:kern w:val="0"/>
                  <w:sz w:val="24"/>
                  <w:highlight w:val="none"/>
                </w:rPr>
              </m:ctrlPr>
            </m:sSubPr>
            <m:e>
              <m:acc>
                <m:accPr>
                  <m:ctrlPr>
                    <w:rPr>
                      <w:rFonts w:ascii="Cambria Math" w:hAnsi="Cambria Math" w:cs="Times New Roman"/>
                      <w:kern w:val="0"/>
                      <w:sz w:val="24"/>
                      <w:highlight w:val="none"/>
                    </w:rPr>
                  </m:ctrlPr>
                </m:accPr>
                <m:e>
                  <m:r>
                    <m:rPr/>
                    <w:rPr>
                      <w:rFonts w:ascii="Cambria Math" w:hAnsi="Cambria Math" w:cs="Times New Roman"/>
                      <w:kern w:val="0"/>
                      <w:sz w:val="24"/>
                      <w:highlight w:val="none"/>
                    </w:rPr>
                    <m:t>Y</m:t>
                  </m:r>
                  <m:ctrlPr>
                    <w:rPr>
                      <w:rFonts w:ascii="Cambria Math" w:hAnsi="Cambria Math" w:cs="Times New Roman"/>
                      <w:kern w:val="0"/>
                      <w:sz w:val="24"/>
                      <w:highlight w:val="none"/>
                    </w:rPr>
                  </m:ctrlPr>
                </m:e>
              </m:acc>
              <m:ctrlPr>
                <w:rPr>
                  <w:rFonts w:ascii="Cambria Math" w:hAnsi="Cambria Math" w:cs="Times New Roman"/>
                  <w:kern w:val="0"/>
                  <w:sz w:val="24"/>
                  <w:highlight w:val="none"/>
                </w:rPr>
              </m:ctrlPr>
            </m:e>
            <m:sub>
              <m:r>
                <m:rPr/>
                <w:rPr>
                  <w:rFonts w:ascii="Cambria Math" w:hAnsi="Cambria Math" w:cs="Times New Roman"/>
                  <w:kern w:val="0"/>
                  <w:sz w:val="24"/>
                  <w:highlight w:val="none"/>
                </w:rPr>
                <m:t>t+1:t+H</m:t>
              </m:r>
              <m:ctrlPr>
                <w:rPr>
                  <w:rFonts w:ascii="Cambria Math" w:hAnsi="Cambria Math" w:cs="Times New Roman"/>
                  <w:kern w:val="0"/>
                  <w:sz w:val="24"/>
                  <w:highlight w:val="none"/>
                </w:rPr>
              </m:ctrlPr>
            </m:sub>
          </m:sSub>
          <m:r>
            <m:rPr/>
            <w:rPr>
              <w:rFonts w:ascii="Cambria Math" w:hAnsi="Cambria Math" w:cs="Times New Roman"/>
              <w:kern w:val="0"/>
              <w:sz w:val="24"/>
              <w:highlight w:val="none"/>
            </w:rPr>
            <m:t>=</m:t>
          </m:r>
          <m:sSub>
            <m:sSubPr>
              <m:ctrlPr>
                <w:rPr>
                  <w:rFonts w:ascii="Cambria Math" w:hAnsi="Cambria Math" w:cs="Times New Roman"/>
                  <w:kern w:val="0"/>
                  <w:sz w:val="24"/>
                  <w:highlight w:val="none"/>
                </w:rPr>
              </m:ctrlPr>
            </m:sSubPr>
            <m:e>
              <m:r>
                <m:rPr/>
                <w:rPr>
                  <w:rFonts w:ascii="Cambria Math" w:hAnsi="Cambria Math" w:cs="Times New Roman"/>
                  <w:kern w:val="0"/>
                  <w:sz w:val="24"/>
                  <w:highlight w:val="none"/>
                </w:rPr>
                <m:t>f</m:t>
              </m:r>
              <m:ctrlPr>
                <w:rPr>
                  <w:rFonts w:ascii="Cambria Math" w:hAnsi="Cambria Math" w:cs="Times New Roman"/>
                  <w:kern w:val="0"/>
                  <w:sz w:val="24"/>
                  <w:highlight w:val="none"/>
                </w:rPr>
              </m:ctrlPr>
            </m:e>
            <m:sub>
              <m:r>
                <m:rPr/>
                <w:rPr>
                  <w:rFonts w:ascii="Cambria Math" w:hAnsi="Cambria Math" w:cs="Times New Roman"/>
                  <w:kern w:val="0"/>
                  <w:sz w:val="24"/>
                  <w:highlight w:val="none"/>
                </w:rPr>
                <m:t>θ</m:t>
              </m:r>
              <m:ctrlPr>
                <w:rPr>
                  <w:rFonts w:ascii="Cambria Math" w:hAnsi="Cambria Math" w:cs="Times New Roman"/>
                  <w:kern w:val="0"/>
                  <w:sz w:val="24"/>
                  <w:highlight w:val="none"/>
                </w:rPr>
              </m:ctrlPr>
            </m:sub>
          </m:sSub>
          <m:d>
            <m:dPr>
              <m:ctrlPr>
                <w:rPr>
                  <w:rFonts w:ascii="Cambria Math" w:hAnsi="Cambria Math" w:cs="Times New Roman"/>
                  <w:kern w:val="0"/>
                  <w:sz w:val="24"/>
                  <w:highlight w:val="none"/>
                </w:rPr>
              </m:ctrlPr>
            </m:dPr>
            <m:e>
              <m:sSub>
                <m:sSubPr>
                  <m:ctrlPr>
                    <w:rPr>
                      <w:rFonts w:ascii="Cambria Math" w:hAnsi="Cambria Math" w:cs="Times New Roman"/>
                      <w:kern w:val="0"/>
                      <w:sz w:val="24"/>
                      <w:highlight w:val="none"/>
                    </w:rPr>
                  </m:ctrlPr>
                </m:sSubPr>
                <m:e>
                  <m:r>
                    <m:rPr/>
                    <w:rPr>
                      <w:rFonts w:ascii="Cambria Math" w:hAnsi="Cambria Math" w:cs="Times New Roman"/>
                      <w:kern w:val="0"/>
                      <w:sz w:val="24"/>
                      <w:highlight w:val="none"/>
                    </w:rPr>
                    <m:t>X</m:t>
                  </m:r>
                  <m:ctrlPr>
                    <w:rPr>
                      <w:rFonts w:ascii="Cambria Math" w:hAnsi="Cambria Math" w:cs="Times New Roman"/>
                      <w:kern w:val="0"/>
                      <w:sz w:val="24"/>
                      <w:highlight w:val="none"/>
                    </w:rPr>
                  </m:ctrlPr>
                </m:e>
                <m:sub>
                  <m:r>
                    <m:rPr/>
                    <w:rPr>
                      <w:rFonts w:ascii="Cambria Math" w:hAnsi="Cambria Math" w:cs="Times New Roman"/>
                      <w:kern w:val="0"/>
                      <w:sz w:val="24"/>
                      <w:highlight w:val="none"/>
                    </w:rPr>
                    <m:t>t−T+1:t</m:t>
                  </m:r>
                  <m:ctrlPr>
                    <w:rPr>
                      <w:rFonts w:ascii="Cambria Math" w:hAnsi="Cambria Math" w:cs="Times New Roman"/>
                      <w:kern w:val="0"/>
                      <w:sz w:val="24"/>
                      <w:highlight w:val="none"/>
                    </w:rPr>
                  </m:ctrlPr>
                </m:sub>
              </m:sSub>
              <m:r>
                <m:rPr/>
                <w:rPr>
                  <w:rFonts w:ascii="Cambria Math" w:hAnsi="Cambria Math" w:cs="Times New Roman"/>
                  <w:kern w:val="0"/>
                  <w:sz w:val="24"/>
                  <w:highlight w:val="none"/>
                </w:rPr>
                <m:t>,S,</m:t>
              </m:r>
              <m:sSub>
                <m:sSubPr>
                  <m:ctrlPr>
                    <w:rPr>
                      <w:rFonts w:ascii="Cambria Math" w:hAnsi="Cambria Math" w:cs="Times New Roman"/>
                      <w:kern w:val="0"/>
                      <w:sz w:val="24"/>
                      <w:highlight w:val="none"/>
                    </w:rPr>
                  </m:ctrlPr>
                </m:sSubPr>
                <m:e>
                  <m:r>
                    <m:rPr/>
                    <w:rPr>
                      <w:rFonts w:ascii="Cambria Math" w:hAnsi="Cambria Math" w:cs="Times New Roman"/>
                      <w:kern w:val="0"/>
                      <w:sz w:val="24"/>
                      <w:highlight w:val="none"/>
                    </w:rPr>
                    <m:t>C</m:t>
                  </m:r>
                  <m:ctrlPr>
                    <w:rPr>
                      <w:rFonts w:ascii="Cambria Math" w:hAnsi="Cambria Math" w:cs="Times New Roman"/>
                      <w:kern w:val="0"/>
                      <w:sz w:val="24"/>
                      <w:highlight w:val="none"/>
                    </w:rPr>
                  </m:ctrlPr>
                </m:e>
                <m:sub>
                  <m:r>
                    <m:rPr/>
                    <w:rPr>
                      <w:rFonts w:ascii="Cambria Math" w:hAnsi="Cambria Math" w:cs="Times New Roman"/>
                      <w:kern w:val="0"/>
                      <w:sz w:val="24"/>
                      <w:highlight w:val="none"/>
                    </w:rPr>
                    <m:t>t</m:t>
                  </m:r>
                  <m:ctrlPr>
                    <w:rPr>
                      <w:rFonts w:ascii="Cambria Math" w:hAnsi="Cambria Math" w:cs="Times New Roman"/>
                      <w:kern w:val="0"/>
                      <w:sz w:val="24"/>
                      <w:highlight w:val="none"/>
                    </w:rPr>
                  </m:ctrlPr>
                </m:sub>
              </m:sSub>
              <m:ctrlPr>
                <w:rPr>
                  <w:rFonts w:ascii="Cambria Math" w:hAnsi="Cambria Math" w:cs="Times New Roman"/>
                  <w:kern w:val="0"/>
                  <w:sz w:val="24"/>
                  <w:highlight w:val="none"/>
                </w:rPr>
              </m:ctrlPr>
            </m:e>
          </m:d>
        </m:oMath>
      </m:oMathPara>
    </w:p>
    <w:p w14:paraId="7E4D3DF8">
      <w:pPr>
        <w:pStyle w:val="10"/>
        <w:spacing w:line="360" w:lineRule="auto"/>
        <w:ind w:firstLine="480" w:firstLineChars="200"/>
        <w:jc w:val="both"/>
        <w:rPr>
          <w:highlight w:val="none"/>
        </w:rPr>
      </w:pPr>
      <w:r>
        <w:rPr>
          <w:highlight w:val="none"/>
        </w:rPr>
        <w:tab/>
      </w:r>
      <w:r>
        <w:rPr>
          <w:highlight w:val="none"/>
        </w:rPr>
        <w:t>其中</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m:sty m:val="p"/>
              </m:rPr>
              <w:rPr>
                <w:rFonts w:ascii="Cambria Math" w:hAnsi="Cambria Math"/>
                <w:highlight w:val="none"/>
              </w:rPr>
              <m:t>Θ</m:t>
            </m:r>
            <m:ctrlPr>
              <w:rPr>
                <w:rFonts w:ascii="Cambria Math" w:hAnsi="Cambria Math"/>
                <w:highlight w:val="none"/>
              </w:rPr>
            </m:ctrlPr>
          </m:sub>
        </m:sSub>
        <m:d>
          <m:dPr>
            <m:ctrlPr>
              <w:rPr>
                <w:rFonts w:ascii="Cambria Math" w:hAnsi="Cambria Math"/>
                <w:highlight w:val="none"/>
              </w:rPr>
            </m:ctrlPr>
          </m:dPr>
          <m:e>
            <m:r>
              <m:rPr>
                <m:sty m:val="p"/>
              </m:rPr>
              <w:rPr>
                <w:rFonts w:ascii="Cambria Math" w:hAnsi="Cambria Math"/>
                <w:highlight w:val="none"/>
              </w:rPr>
              <m:t>⋅</m:t>
            </m:r>
            <m:ctrlPr>
              <w:rPr>
                <w:rFonts w:ascii="Cambria Math" w:hAnsi="Cambria Math"/>
                <w:highlight w:val="none"/>
              </w:rPr>
            </m:ctrlPr>
          </m:e>
        </m:d>
      </m:oMath>
      <w:r>
        <w:rPr>
          <w:highlight w:val="none"/>
        </w:rPr>
        <w:t>表示参数为</w:t>
      </w:r>
      <m:oMath>
        <m:r>
          <m:rPr>
            <m:sty m:val="p"/>
          </m:rPr>
          <w:rPr>
            <w:rFonts w:ascii="Cambria Math" w:hAnsi="Cambria Math"/>
            <w:highlight w:val="none"/>
          </w:rPr>
          <m:t>Θ</m:t>
        </m:r>
      </m:oMath>
      <w:r>
        <w:rPr>
          <w:highlight w:val="none"/>
        </w:rPr>
        <w:t>的预测模型，</w:t>
      </w:r>
      <m:oMath>
        <m:r>
          <m:rPr/>
          <w:rPr>
            <w:rFonts w:ascii="Cambria Math" w:hAnsi="Cambria Math"/>
            <w:highlight w:val="none"/>
          </w:rPr>
          <m:t>S</m:t>
        </m:r>
      </m:oMath>
      <w:r>
        <w:rPr>
          <w:highlight w:val="none"/>
        </w:rPr>
        <w:t xml:space="preserve"> 表示空间关系支持，</w:t>
      </w:r>
      <m:oMath>
        <m:sSub>
          <m:sSubPr>
            <m:ctrlPr>
              <w:rPr>
                <w:rFonts w:ascii="Cambria Math" w:hAnsi="Cambria Math"/>
                <w:highlight w:val="none"/>
              </w:rPr>
            </m:ctrlPr>
          </m:sSubPr>
          <m:e>
            <m:r>
              <m:rPr/>
              <w:rPr>
                <w:rFonts w:ascii="Cambria Math" w:hAnsi="Cambria Math"/>
                <w:highlight w:val="none"/>
              </w:rPr>
              <m:t>C</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oMath>
      <w:r>
        <w:rPr>
          <w:highlight w:val="none"/>
        </w:rPr>
        <w:t xml:space="preserve"> 表示历史窗口对应的时间上下文信息，包括日内时间和星期信息。</w:t>
      </w:r>
    </w:p>
    <w:p w14:paraId="644DEA2F">
      <w:pPr>
        <w:pStyle w:val="10"/>
        <w:spacing w:line="360" w:lineRule="auto"/>
        <w:ind w:firstLine="480" w:firstLineChars="200"/>
        <w:rPr>
          <w:highlight w:val="none"/>
        </w:rPr>
      </w:pPr>
      <w:r>
        <w:rPr>
          <w:highlight w:val="none"/>
        </w:rPr>
        <w:t>然而，交通流演化并不完全遵循由历史数据学习得到的稳定模式。在实际运行过程中，大部分时间交通状态呈现明显的周期规律，例如工作日早晚高峰和周末变化模式；但局部区域仍可能出现与常规运行状态明显不同的短时偏离。为了刻画这种状态变化，本文引入训练期统计得到的常规流量基线：</w:t>
      </w:r>
    </w:p>
    <w:p w14:paraId="1C037FE9">
      <w:pPr>
        <w:pStyle w:val="10"/>
        <w:spacing w:line="360" w:lineRule="auto"/>
        <w:ind w:firstLine="560" w:firstLineChars="200"/>
        <w:rPr>
          <w:rFonts w:hint="eastAsia" w:ascii="黑体" w:hAnsi="黑体" w:eastAsia="黑体" w:cs="黑体"/>
          <w:sz w:val="28"/>
          <w:szCs w:val="28"/>
          <w:highlight w:val="none"/>
        </w:rPr>
      </w:pPr>
      <m:oMathPara>
        <m:oMath>
          <m:sSub>
            <m:sSubPr>
              <m:ctrlPr>
                <w:rPr>
                  <w:rFonts w:ascii="Cambria Math" w:hAnsi="Cambria Math" w:eastAsia="黑体" w:cs="黑体"/>
                  <w:sz w:val="28"/>
                  <w:szCs w:val="28"/>
                  <w:highlight w:val="none"/>
                </w:rPr>
              </m:ctrlPr>
            </m:sSubPr>
            <m:e>
              <m:r>
                <m:rPr/>
                <w:rPr>
                  <w:rFonts w:ascii="Cambria Math" w:hAnsi="Cambria Math" w:eastAsia="黑体" w:cs="黑体"/>
                  <w:sz w:val="28"/>
                  <w:szCs w:val="28"/>
                  <w:highlight w:val="none"/>
                </w:rPr>
                <m:t>b</m:t>
              </m:r>
              <m:ctrlPr>
                <w:rPr>
                  <w:rFonts w:ascii="Cambria Math" w:hAnsi="Cambria Math" w:eastAsia="黑体" w:cs="黑体"/>
                  <w:sz w:val="28"/>
                  <w:szCs w:val="28"/>
                  <w:highlight w:val="none"/>
                </w:rPr>
              </m:ctrlPr>
            </m:e>
            <m:sub>
              <m:r>
                <m:rPr/>
                <w:rPr>
                  <w:rFonts w:ascii="Cambria Math" w:hAnsi="Cambria Math" w:eastAsia="黑体" w:cs="黑体"/>
                  <w:sz w:val="28"/>
                  <w:szCs w:val="28"/>
                  <w:highlight w:val="none"/>
                </w:rPr>
                <m:t>t</m:t>
              </m:r>
              <m:ctrlPr>
                <w:rPr>
                  <w:rFonts w:ascii="Cambria Math" w:hAnsi="Cambria Math" w:eastAsia="黑体" w:cs="黑体"/>
                  <w:sz w:val="28"/>
                  <w:szCs w:val="28"/>
                  <w:highlight w:val="none"/>
                </w:rPr>
              </m:ctrlPr>
            </m:sub>
          </m:sSub>
          <m:r>
            <m:rPr/>
            <w:rPr>
              <w:rFonts w:ascii="Cambria Math" w:hAnsi="Cambria Math" w:eastAsia="黑体" w:cs="黑体"/>
              <w:sz w:val="28"/>
              <w:szCs w:val="28"/>
              <w:highlight w:val="none"/>
            </w:rPr>
            <m:t>∈</m:t>
          </m:r>
          <m:sSup>
            <m:sSupPr>
              <m:ctrlPr>
                <w:rPr>
                  <w:rFonts w:ascii="Cambria Math" w:hAnsi="Cambria Math" w:eastAsia="黑体" w:cs="黑体"/>
                  <w:sz w:val="28"/>
                  <w:szCs w:val="28"/>
                  <w:highlight w:val="none"/>
                </w:rPr>
              </m:ctrlPr>
            </m:sSupPr>
            <m:e>
              <m:r>
                <m:rPr>
                  <m:scr m:val="double-struck"/>
                </m:rPr>
                <w:rPr>
                  <w:rFonts w:ascii="Cambria Math" w:hAnsi="Cambria Math" w:eastAsia="黑体" w:cs="黑体"/>
                  <w:sz w:val="28"/>
                  <w:szCs w:val="28"/>
                  <w:highlight w:val="none"/>
                </w:rPr>
                <m:t>ℝ</m:t>
              </m:r>
              <m:ctrlPr>
                <w:rPr>
                  <w:rFonts w:ascii="Cambria Math" w:hAnsi="Cambria Math" w:eastAsia="黑体" w:cs="黑体"/>
                  <w:sz w:val="28"/>
                  <w:szCs w:val="28"/>
                  <w:highlight w:val="none"/>
                </w:rPr>
              </m:ctrlPr>
            </m:e>
            <m:sup>
              <m:r>
                <m:rPr/>
                <w:rPr>
                  <w:rFonts w:ascii="Cambria Math" w:hAnsi="Cambria Math" w:eastAsia="黑体" w:cs="黑体"/>
                  <w:sz w:val="28"/>
                  <w:szCs w:val="28"/>
                  <w:highlight w:val="none"/>
                </w:rPr>
                <m:t>N×1</m:t>
              </m:r>
              <m:ctrlPr>
                <w:rPr>
                  <w:rFonts w:ascii="Cambria Math" w:hAnsi="Cambria Math" w:eastAsia="黑体" w:cs="黑体"/>
                  <w:sz w:val="28"/>
                  <w:szCs w:val="28"/>
                  <w:highlight w:val="none"/>
                </w:rPr>
              </m:ctrlPr>
            </m:sup>
          </m:sSup>
        </m:oMath>
      </m:oMathPara>
    </w:p>
    <w:p w14:paraId="6CAD1923">
      <w:pPr>
        <w:pStyle w:val="10"/>
        <w:spacing w:line="360" w:lineRule="auto"/>
        <w:ind w:firstLine="480" w:firstLineChars="200"/>
        <w:jc w:val="both"/>
        <w:rPr>
          <w:highlight w:val="none"/>
        </w:rPr>
      </w:pPr>
      <w:r>
        <w:rPr>
          <w:highlight w:val="none"/>
        </w:rPr>
        <w:tab/>
      </w:r>
      <w:r>
        <w:rPr>
          <w:highlight w:val="none"/>
        </w:rPr>
        <w:t xml:space="preserve">其中 </w:t>
      </w:r>
      <m:oMath>
        <m:sSub>
          <m:sSubPr>
            <m:ctrlPr>
              <w:rPr>
                <w:rFonts w:ascii="Cambria Math" w:hAnsi="Cambria Math"/>
                <w:highlight w:val="none"/>
              </w:rPr>
            </m:ctrlPr>
          </m:sSubPr>
          <m:e>
            <m:r>
              <m:rPr/>
              <w:rPr>
                <w:rFonts w:ascii="Cambria Math" w:hAnsi="Cambria Math"/>
                <w:highlight w:val="none"/>
              </w:rPr>
              <m:t>b</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oMath>
      <w:r>
        <w:rPr>
          <w:highlight w:val="none"/>
        </w:rPr>
        <w:t>表示节点在对应时间条件下的典型流量水平。该基线仅利用训练阶段有效历史观测估计，并根据空间位置、星期类型以及日内时间进行统计构建。</w:t>
      </w:r>
    </w:p>
    <w:p w14:paraId="29C8E67C">
      <w:pPr>
        <w:pStyle w:val="10"/>
        <w:spacing w:line="360" w:lineRule="auto"/>
        <w:ind w:firstLine="480" w:firstLineChars="200"/>
        <w:jc w:val="both"/>
        <w:rPr>
          <w:highlight w:val="none"/>
        </w:rPr>
      </w:pPr>
      <w:r>
        <w:rPr>
          <w:highlight w:val="none"/>
        </w:rPr>
        <w:t>基于该常规参照，定义当前交通状态相对于常规模式的偏离量：</w:t>
      </w:r>
      <w:r>
        <w:rPr>
          <w:highlight w:val="none"/>
        </w:rPr>
        <w:br w:type="textWrapping"/>
      </w:r>
      <m:oMathPara>
        <m:oMath>
          <m:sSub>
            <m:sSubPr>
              <m:ctrlPr>
                <w:rPr>
                  <w:rFonts w:ascii="Cambria Math" w:hAnsi="Cambria Math"/>
                  <w:highlight w:val="none"/>
                </w:rPr>
              </m:ctrlPr>
            </m:sSubPr>
            <m:e>
              <m:r>
                <m:rPr/>
                <w:rPr>
                  <w:rFonts w:ascii="Cambria Math" w:hAnsi="Cambria Math"/>
                  <w:highlight w:val="none"/>
                </w:rPr>
                <m:t>D</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b</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oMath>
      </m:oMathPara>
    </w:p>
    <w:p w14:paraId="73E47628">
      <w:pPr>
        <w:pStyle w:val="10"/>
        <w:spacing w:line="360" w:lineRule="auto"/>
        <w:ind w:firstLine="480" w:firstLineChars="200"/>
        <w:jc w:val="both"/>
        <w:rPr>
          <w:highlight w:val="none"/>
        </w:rPr>
      </w:pPr>
      <w:r>
        <w:rPr>
          <w:highlight w:val="none"/>
        </w:rPr>
        <w:t>其中，</w:t>
      </w:r>
      <m:oMath>
        <m:sSub>
          <m:sSubPr>
            <m:ctrlPr>
              <w:rPr>
                <w:rFonts w:ascii="Cambria Math" w:hAnsi="Cambria Math"/>
                <w:highlight w:val="none"/>
              </w:rPr>
            </m:ctrlPr>
          </m:sSubPr>
          <m:e>
            <m:r>
              <m:rPr/>
              <w:rPr>
                <w:rFonts w:ascii="Cambria Math" w:hAnsi="Cambria Math"/>
                <w:highlight w:val="none"/>
              </w:rPr>
              <m:t>D</m:t>
            </m:r>
            <m:ctrlPr>
              <w:rPr>
                <w:rFonts w:ascii="Cambria Math" w:hAnsi="Cambria Math"/>
                <w:highlight w:val="none"/>
              </w:rPr>
            </m:ctrlPr>
          </m:e>
          <m:sub>
            <m:r>
              <m:rPr/>
              <w:rPr>
                <w:rFonts w:ascii="Cambria Math" w:hAnsi="Cambria Math"/>
                <w:highlight w:val="none"/>
              </w:rPr>
              <m:t>t</m:t>
            </m:r>
            <m:ctrlPr>
              <w:rPr>
                <w:rFonts w:ascii="Cambria Math" w:hAnsi="Cambria Math"/>
                <w:highlight w:val="none"/>
              </w:rPr>
            </m:ctrlPr>
          </m:sub>
        </m:sSub>
      </m:oMath>
      <w:r>
        <w:rPr>
          <w:highlight w:val="none"/>
        </w:rPr>
        <w:t xml:space="preserve"> 描述当前观测流量与常规运行状态之间的差异。需要指出的是，该偏离量仅依赖历史观测和训练期统计参照，不需要额外的事件标签或异常标注。</w:t>
      </w:r>
    </w:p>
    <w:p w14:paraId="1C464B00">
      <w:pPr>
        <w:pStyle w:val="10"/>
        <w:spacing w:line="360" w:lineRule="auto"/>
        <w:ind w:firstLine="480" w:firstLineChars="200"/>
        <w:jc w:val="both"/>
        <w:rPr>
          <w:rFonts w:hint="eastAsia"/>
          <w:highlight w:val="none"/>
        </w:rPr>
      </w:pPr>
      <w:r>
        <w:rPr>
          <w:highlight w:val="none"/>
        </w:rPr>
        <w:t>基于上述问题，本文将短时多步交通流预测重新表述为：</w:t>
      </w:r>
    </w:p>
    <w:p w14:paraId="436402D8">
      <w:pPr>
        <w:widowControl/>
        <w:jc w:val="left"/>
        <w:rPr>
          <w:sz w:val="24"/>
          <w:highlight w:val="none"/>
        </w:rPr>
      </w:pPr>
      <m:oMathPara>
        <m:oMath>
          <m:acc>
            <m:accPr>
              <m:ctrlPr>
                <w:rPr>
                  <w:rFonts w:ascii="Cambria Math" w:hAnsi="Cambria Math"/>
                  <w:sz w:val="24"/>
                  <w:highlight w:val="none"/>
                </w:rPr>
              </m:ctrlPr>
            </m:accPr>
            <m:e>
              <m:r>
                <m:rPr/>
                <w:rPr>
                  <w:rFonts w:ascii="Cambria Math" w:hAnsi="Cambria Math"/>
                  <w:sz w:val="24"/>
                  <w:highlight w:val="none"/>
                </w:rPr>
                <m:t>Y</m:t>
              </m:r>
              <m:ctrlPr>
                <w:rPr>
                  <w:rFonts w:ascii="Cambria Math" w:hAnsi="Cambria Math"/>
                  <w:sz w:val="24"/>
                  <w:highlight w:val="none"/>
                </w:rPr>
              </m:ctrlPr>
            </m:e>
          </m:acc>
          <m:r>
            <m:rPr/>
            <w:rPr>
              <w:rFonts w:ascii="Cambria Math" w:hAnsi="Cambria Math"/>
              <w:sz w:val="24"/>
              <w:highlight w:val="none"/>
            </w:rPr>
            <m:t>=</m:t>
          </m:r>
          <m:sSub>
            <m:sSubPr>
              <m:ctrlPr>
                <w:rPr>
                  <w:rFonts w:ascii="Cambria Math" w:hAnsi="Cambria Math"/>
                  <w:sz w:val="24"/>
                  <w:highlight w:val="none"/>
                </w:rPr>
              </m:ctrlPr>
            </m:sSubPr>
            <m:e>
              <m:r>
                <m:rPr/>
                <w:rPr>
                  <w:rFonts w:ascii="Cambria Math" w:hAnsi="Cambria Math"/>
                  <w:sz w:val="24"/>
                  <w:highlight w:val="none"/>
                </w:rPr>
                <m:t>Y</m:t>
              </m:r>
              <m:ctrlPr>
                <w:rPr>
                  <w:rFonts w:ascii="Cambria Math" w:hAnsi="Cambria Math"/>
                  <w:sz w:val="24"/>
                  <w:highlight w:val="none"/>
                </w:rPr>
              </m:ctrlPr>
            </m:e>
            <m:sub>
              <m:r>
                <m:rPr/>
                <w:rPr>
                  <w:rFonts w:ascii="Cambria Math" w:hAnsi="Cambria Math"/>
                  <w:sz w:val="24"/>
                  <w:highlight w:val="none"/>
                </w:rPr>
                <m:t>base</m:t>
              </m:r>
              <m:ctrlPr>
                <w:rPr>
                  <w:rFonts w:ascii="Cambria Math" w:hAnsi="Cambria Math"/>
                  <w:sz w:val="24"/>
                  <w:highlight w:val="none"/>
                </w:rPr>
              </m:ctrlPr>
            </m:sub>
          </m:sSub>
          <m:r>
            <m:rPr/>
            <w:rPr>
              <w:rFonts w:ascii="Cambria Math" w:hAnsi="Cambria Math"/>
              <w:sz w:val="24"/>
              <w:highlight w:val="none"/>
            </w:rPr>
            <m:t>+Δ</m:t>
          </m:r>
          <m:sSub>
            <m:sSubPr>
              <m:ctrlPr>
                <w:rPr>
                  <w:rFonts w:ascii="Cambria Math" w:hAnsi="Cambria Math"/>
                  <w:sz w:val="24"/>
                  <w:highlight w:val="none"/>
                </w:rPr>
              </m:ctrlPr>
            </m:sSubPr>
            <m:e>
              <m:r>
                <m:rPr/>
                <w:rPr>
                  <w:rFonts w:ascii="Cambria Math" w:hAnsi="Cambria Math"/>
                  <w:sz w:val="24"/>
                  <w:highlight w:val="none"/>
                </w:rPr>
                <m:t>Y</m:t>
              </m:r>
              <m:ctrlPr>
                <w:rPr>
                  <w:rFonts w:ascii="Cambria Math" w:hAnsi="Cambria Math"/>
                  <w:sz w:val="24"/>
                  <w:highlight w:val="none"/>
                </w:rPr>
              </m:ctrlPr>
            </m:e>
            <m:sub>
              <m:r>
                <m:rPr/>
                <w:rPr>
                  <w:rFonts w:ascii="Cambria Math" w:hAnsi="Cambria Math"/>
                  <w:sz w:val="24"/>
                  <w:highlight w:val="none"/>
                </w:rPr>
                <m:t>state</m:t>
              </m:r>
              <m:ctrlPr>
                <w:rPr>
                  <w:rFonts w:ascii="Cambria Math" w:hAnsi="Cambria Math"/>
                  <w:sz w:val="24"/>
                  <w:highlight w:val="none"/>
                </w:rPr>
              </m:ctrlPr>
            </m:sub>
          </m:sSub>
          <m:r>
            <m:rPr/>
            <w:rPr>
              <w:rFonts w:ascii="Cambria Math" w:hAnsi="Cambria Math"/>
              <w:sz w:val="24"/>
              <w:highlight w:val="none"/>
            </w:rPr>
            <m:t>+Δ</m:t>
          </m:r>
          <m:sSub>
            <m:sSubPr>
              <m:ctrlPr>
                <w:rPr>
                  <w:rFonts w:ascii="Cambria Math" w:hAnsi="Cambria Math"/>
                  <w:sz w:val="24"/>
                  <w:highlight w:val="none"/>
                </w:rPr>
              </m:ctrlPr>
            </m:sSubPr>
            <m:e>
              <m:r>
                <m:rPr/>
                <w:rPr>
                  <w:rFonts w:ascii="Cambria Math" w:hAnsi="Cambria Math"/>
                  <w:sz w:val="24"/>
                  <w:highlight w:val="none"/>
                </w:rPr>
                <m:t>Y</m:t>
              </m:r>
              <m:ctrlPr>
                <w:rPr>
                  <w:rFonts w:ascii="Cambria Math" w:hAnsi="Cambria Math"/>
                  <w:sz w:val="24"/>
                  <w:highlight w:val="none"/>
                </w:rPr>
              </m:ctrlPr>
            </m:e>
            <m:sub>
              <m:r>
                <m:rPr/>
                <w:rPr>
                  <w:rFonts w:ascii="Cambria Math" w:hAnsi="Cambria Math"/>
                  <w:sz w:val="24"/>
                  <w:highlight w:val="none"/>
                </w:rPr>
                <m:t>message</m:t>
              </m:r>
              <m:ctrlPr>
                <w:rPr>
                  <w:rFonts w:ascii="Cambria Math" w:hAnsi="Cambria Math"/>
                  <w:sz w:val="24"/>
                  <w:highlight w:val="none"/>
                </w:rPr>
              </m:ctrlPr>
            </m:sub>
          </m:sSub>
        </m:oMath>
      </m:oMathPara>
    </w:p>
    <w:p w14:paraId="75F31827">
      <w:pPr>
        <w:pStyle w:val="10"/>
        <w:spacing w:line="360" w:lineRule="auto"/>
        <w:ind w:firstLine="480" w:firstLineChars="200"/>
        <w:rPr>
          <w:highlight w:val="none"/>
        </w:rPr>
      </w:pPr>
      <w:r>
        <w:rPr>
          <w:highlight w:val="none"/>
        </w:rPr>
        <w:t>其中：</w:t>
      </w:r>
      <m:oMath>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base</m:t>
            </m:r>
            <m:ctrlPr>
              <w:rPr>
                <w:rFonts w:ascii="Cambria Math" w:hAnsi="Cambria Math"/>
                <w:highlight w:val="none"/>
              </w:rPr>
            </m:ctrlPr>
          </m:sub>
        </m:sSub>
      </m:oMath>
      <w:r>
        <w:rPr>
          <w:highlight w:val="none"/>
        </w:rPr>
        <w:t>表示由基础时空预测网络得到的初始预测；</w:t>
      </w:r>
      <m:oMath>
        <m:r>
          <m:rPr>
            <m:sty m:val="p"/>
          </m:rPr>
          <w:rPr>
            <w:rFonts w:ascii="Cambria Math" w:hAnsi="Cambria Math"/>
            <w:highlight w:val="none"/>
          </w:rPr>
          <m:t>Δ</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state</m:t>
            </m:r>
            <m:ctrlPr>
              <w:rPr>
                <w:rFonts w:ascii="Cambria Math" w:hAnsi="Cambria Math"/>
                <w:highlight w:val="none"/>
              </w:rPr>
            </m:ctrlPr>
          </m:sub>
        </m:sSub>
      </m:oMath>
      <w:r>
        <w:rPr>
          <w:highlight w:val="none"/>
        </w:rPr>
        <w:t>表示由异质状态证据组织产生的角色化残差修正；</w:t>
      </w:r>
      <m:oMath>
        <m:r>
          <m:rPr>
            <m:sty m:val="p"/>
          </m:rPr>
          <w:rPr>
            <w:rFonts w:ascii="Cambria Math" w:hAnsi="Cambria Math"/>
            <w:highlight w:val="none"/>
          </w:rPr>
          <m:t>Δ</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message</m:t>
            </m:r>
            <m:ctrlPr>
              <w:rPr>
                <w:rFonts w:ascii="Cambria Math" w:hAnsi="Cambria Math"/>
                <w:highlight w:val="none"/>
              </w:rPr>
            </m:ctrlPr>
          </m:sub>
        </m:sSub>
      </m:oMath>
      <w:r>
        <w:rPr>
          <w:highlight w:val="none"/>
        </w:rPr>
        <w:t>表示由背景条件化历史消息选择产生的跨区域残差补充。</w:t>
      </w:r>
    </w:p>
    <w:p w14:paraId="69C6A019">
      <w:pPr>
        <w:pStyle w:val="10"/>
        <w:spacing w:line="360" w:lineRule="auto"/>
        <w:ind w:firstLine="480" w:firstLineChars="200"/>
        <w:rPr>
          <w:highlight w:val="none"/>
        </w:rPr>
      </w:pPr>
      <w:r>
        <w:rPr>
          <w:highlight w:val="none"/>
        </w:rPr>
        <w:t>在上述多步预测任务中，本文关注常规模式偏离情境下的预测修正：结合节点自身近期动态与跨区域历史证据，组织具有不同角色的互补信息，并根据当前流量背景与预测时距选择历史消息，形成对基础预测的残差补充。</w:t>
      </w:r>
    </w:p>
    <w:p w14:paraId="5E51BCED">
      <w:pPr>
        <w:rPr>
          <w:rFonts w:ascii="黑体" w:hAnsi="黑体" w:eastAsia="黑体" w:cs="黑体"/>
          <w:sz w:val="28"/>
          <w:szCs w:val="28"/>
          <w:highlight w:val="none"/>
        </w:rPr>
      </w:pPr>
      <w:r>
        <w:rPr>
          <w:rFonts w:hint="eastAsia" w:ascii="黑体" w:hAnsi="黑体" w:eastAsia="黑体" w:cs="黑体"/>
          <w:sz w:val="28"/>
          <w:szCs w:val="28"/>
          <w:highlight w:val="none"/>
        </w:rPr>
        <w:t>四、方法学</w:t>
      </w:r>
    </w:p>
    <w:p w14:paraId="042991BB">
      <w:pPr>
        <w:rPr>
          <w:rFonts w:ascii="黑体" w:hAnsi="黑体" w:eastAsia="黑体" w:cs="黑体"/>
          <w:sz w:val="28"/>
          <w:szCs w:val="28"/>
          <w:highlight w:val="none"/>
        </w:rPr>
      </w:pPr>
      <w:r>
        <w:rPr>
          <w:rFonts w:hint="eastAsia" w:ascii="黑体" w:hAnsi="黑体" w:eastAsia="黑体" w:cs="黑体"/>
          <w:sz w:val="28"/>
          <w:szCs w:val="28"/>
          <w:highlight w:val="none"/>
        </w:rPr>
        <w:t>4.1 总体框架</w:t>
      </w:r>
    </w:p>
    <w:p w14:paraId="3FCD94C4">
      <w:pPr>
        <w:spacing w:line="360" w:lineRule="auto"/>
        <w:ind w:firstLine="480" w:firstLineChars="200"/>
        <w:rPr>
          <w:rFonts w:hint="eastAsia" w:ascii="Times New Roman" w:hAnsi="Times New Roman" w:cs="Times New Roman"/>
          <w:kern w:val="0"/>
          <w:sz w:val="24"/>
          <w:highlight w:val="none"/>
        </w:rPr>
      </w:pPr>
      <w:r>
        <w:rPr>
          <w:rFonts w:ascii="Times New Roman" w:hAnsi="Times New Roman" w:cs="Times New Roman"/>
          <w:kern w:val="0"/>
          <w:sz w:val="24"/>
          <w:highlight w:val="none"/>
        </w:rPr>
        <w:t>CMSRN 面向交通流量偏离常规时段模式时的短时多步预测，在共享双频时空表征上构建互补的残差修正机制。其设计包含三个环节：首先，通过双频时空主干提取低频与高频特征，形成基础预测；随后，SERR 按照证据角色组织周期参照、局部变化、有向滞后关联与节点自身演化；最后，BCMS 根据目标与来源区域的流量背景，选择适用于不同预测时距的历史消息。</w:t>
      </w:r>
      <w:r>
        <w:rPr>
          <w:rFonts w:hint="eastAsia" w:ascii="Times New Roman" w:hAnsi="Times New Roman" w:cs="Times New Roman"/>
          <w:kern w:val="0"/>
          <w:sz w:val="24"/>
          <w:highlight w:val="none"/>
        </w:rPr>
        <w:t>整体预测可表示为：</w:t>
      </w:r>
    </w:p>
    <w:p w14:paraId="3D35CEED">
      <w:pPr>
        <w:pStyle w:val="10"/>
        <w:spacing w:line="360" w:lineRule="auto"/>
        <w:ind w:firstLine="480" w:firstLineChars="200"/>
        <w:rPr>
          <w:highlight w:val="none"/>
        </w:rPr>
      </w:pPr>
      <m:oMathPara>
        <m:oMath>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r>
            <m:rPr/>
            <w:rPr>
              <w:rFonts w:ascii="Cambria Math" w:hAnsi="Cambria Math"/>
              <w:highlight w:val="none"/>
            </w:rPr>
            <m:t>=</m:t>
          </m:r>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0</m:t>
              </m:r>
              <m:ctrlPr>
                <w:rPr>
                  <w:rFonts w:ascii="Cambria Math" w:hAnsi="Cambria Math"/>
                  <w:highlight w:val="none"/>
                </w:rPr>
              </m:ctrlPr>
            </m:sup>
          </m:sSup>
          <m:r>
            <m:rPr/>
            <w:rPr>
              <w:rFonts w:ascii="Cambria Math" w:hAnsi="Cambria Math"/>
              <w:highlight w:val="none"/>
            </w:rPr>
            <m:t>+Δ</m:t>
          </m:r>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S</m:t>
              </m:r>
              <m:ctrlPr>
                <w:rPr>
                  <w:rFonts w:ascii="Cambria Math" w:hAnsi="Cambria Math"/>
                  <w:highlight w:val="none"/>
                </w:rPr>
              </m:ctrlPr>
            </m:sup>
          </m:sSup>
          <m:r>
            <m:rPr/>
            <w:rPr>
              <w:rFonts w:ascii="Cambria Math" w:hAnsi="Cambria Math"/>
              <w:highlight w:val="none"/>
            </w:rPr>
            <m:t>+Δ</m:t>
          </m:r>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B</m:t>
              </m:r>
              <m:ctrlPr>
                <w:rPr>
                  <w:rFonts w:ascii="Cambria Math" w:hAnsi="Cambria Math"/>
                  <w:highlight w:val="none"/>
                </w:rPr>
              </m:ctrlPr>
            </m:sup>
          </m:sSup>
        </m:oMath>
      </m:oMathPara>
    </w:p>
    <w:p w14:paraId="3963A54E">
      <w:pPr>
        <w:pStyle w:val="10"/>
        <w:spacing w:line="360" w:lineRule="auto"/>
        <w:ind w:firstLine="480" w:firstLineChars="200"/>
        <w:rPr>
          <w:highlight w:val="none"/>
        </w:rPr>
      </w:pPr>
      <w:r>
        <w:rPr>
          <w:highlight w:val="none"/>
        </w:rPr>
        <w:t>其中，</w:t>
      </w:r>
      <m:oMath>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0</m:t>
            </m:r>
            <m:ctrlPr>
              <w:rPr>
                <w:rFonts w:ascii="Cambria Math" w:hAnsi="Cambria Math"/>
                <w:highlight w:val="none"/>
              </w:rPr>
            </m:ctrlPr>
          </m:sup>
        </m:sSup>
      </m:oMath>
      <w:r>
        <w:rPr>
          <w:highlight w:val="none"/>
        </w:rPr>
        <w:t>为基础预测，</w:t>
      </w:r>
      <m:oMath>
        <m:r>
          <m:rPr/>
          <w:rPr>
            <w:rFonts w:ascii="Cambria Math" w:hAnsi="Cambria Math"/>
            <w:highlight w:val="none"/>
          </w:rPr>
          <m:t>Δ</m:t>
        </m:r>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S</m:t>
            </m:r>
            <m:ctrlPr>
              <w:rPr>
                <w:rFonts w:ascii="Cambria Math" w:hAnsi="Cambria Math"/>
                <w:highlight w:val="none"/>
              </w:rPr>
            </m:ctrlPr>
          </m:sup>
        </m:sSup>
      </m:oMath>
      <w:r>
        <w:rPr>
          <w:highlight w:val="none"/>
        </w:rPr>
        <w:t>和</w:t>
      </w:r>
      <m:oMath>
        <m:r>
          <m:rPr/>
          <w:rPr>
            <w:rFonts w:ascii="Cambria Math" w:hAnsi="Cambria Math"/>
            <w:highlight w:val="none"/>
          </w:rPr>
          <m:t>Δ</m:t>
        </m:r>
        <m:sSup>
          <m:sSupPr>
            <m:ctrlPr>
              <w:rPr>
                <w:rFonts w:ascii="Cambria Math" w:hAnsi="Cambria Math"/>
                <w:highlight w:val="none"/>
              </w:rPr>
            </m:ctrlPr>
          </m:sSupPr>
          <m:e>
            <m:acc>
              <m:accPr>
                <m:chr m:val="̃"/>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p>
            <m:r>
              <m:rPr/>
              <w:rPr>
                <w:rFonts w:ascii="Cambria Math" w:hAnsi="Cambria Math"/>
                <w:highlight w:val="none"/>
              </w:rPr>
              <m:t>B</m:t>
            </m:r>
            <m:ctrlPr>
              <w:rPr>
                <w:rFonts w:ascii="Cambria Math" w:hAnsi="Cambria Math"/>
                <w:highlight w:val="none"/>
              </w:rPr>
            </m:ctrlPr>
          </m:sup>
        </m:sSup>
      </m:oMath>
      <w:r>
        <w:rPr>
          <w:highlight w:val="none"/>
        </w:rPr>
        <w:t>分别表示 SERR 与 BCMS 产生的修正，三者均属于</w:t>
      </w:r>
      <m:oMath>
        <m:sSup>
          <m:sSupPr>
            <m:ctrlPr>
              <w:rPr>
                <w:rFonts w:ascii="Cambria Math" w:hAnsi="Cambria Math"/>
                <w:highlight w:val="none"/>
              </w:rPr>
            </m:ctrlPr>
          </m:sSupPr>
          <m:e>
            <m:r>
              <m:rPr>
                <m:scr m:val="double-struck"/>
              </m:rPr>
              <w:rPr>
                <w:rFonts w:ascii="Cambria Math" w:hAnsi="Cambria Math"/>
                <w:highlight w:val="none"/>
              </w:rPr>
              <m:t>ℝ</m:t>
            </m:r>
            <m:ctrlPr>
              <w:rPr>
                <w:rFonts w:ascii="Cambria Math" w:hAnsi="Cambria Math"/>
                <w:highlight w:val="none"/>
              </w:rPr>
            </m:ctrlPr>
          </m:e>
          <m:sup>
            <m:r>
              <m:rPr/>
              <w:rPr>
                <w:rFonts w:ascii="Cambria Math" w:hAnsi="Cambria Math"/>
                <w:highlight w:val="none"/>
              </w:rPr>
              <m:t>H×N×1</m:t>
            </m:r>
            <m:ctrlPr>
              <w:rPr>
                <w:rFonts w:ascii="Cambria Math" w:hAnsi="Cambria Math"/>
                <w:highlight w:val="none"/>
              </w:rPr>
            </m:ctrlPr>
          </m:sup>
        </m:sSup>
      </m:oMath>
      <w:r>
        <w:rPr>
          <w:highlight w:val="none"/>
        </w:rPr>
        <w:t>。波浪号表示标准化空间中的预测量。两类修正共享主干特征，并在输出端累加，分别承担异质证据组织与历史消息选择的功能。</w:t>
      </w:r>
    </w:p>
    <w:p w14:paraId="4DAB6E0A">
      <w:pPr>
        <w:spacing w:line="360" w:lineRule="auto"/>
        <w:rPr>
          <w:rFonts w:ascii="黑体" w:hAnsi="黑体" w:eastAsia="黑体" w:cs="黑体"/>
          <w:sz w:val="28"/>
          <w:szCs w:val="28"/>
          <w:highlight w:val="none"/>
        </w:rPr>
      </w:pPr>
      <w:r>
        <w:rPr>
          <w:rFonts w:hint="eastAsia" w:ascii="黑体" w:hAnsi="黑体" w:eastAsia="黑体" w:cs="黑体"/>
          <w:sz w:val="28"/>
          <w:szCs w:val="28"/>
          <w:highlight w:val="none"/>
        </w:rPr>
        <w:t>4.2 共享双频率时空表征</w:t>
      </w:r>
    </w:p>
    <w:p w14:paraId="2A1832A9">
      <w:pPr>
        <w:spacing w:line="360" w:lineRule="auto"/>
        <w:ind w:firstLine="480" w:firstLineChars="200"/>
        <w:rPr>
          <w:rFonts w:ascii="Times New Roman" w:hAnsi="Times New Roman" w:cs="Times New Roman"/>
          <w:kern w:val="0"/>
          <w:sz w:val="24"/>
          <w:highlight w:val="none"/>
        </w:rPr>
      </w:pPr>
      <w:r>
        <w:rPr>
          <w:rFonts w:ascii="Times New Roman" w:hAnsi="Times New Roman" w:cs="Times New Roman"/>
          <w:kern w:val="0"/>
          <w:sz w:val="24"/>
          <w:highlight w:val="none"/>
        </w:rPr>
        <w:t>交通序列中的平缓变化与短时波动具有不同的时间特征。CMSRN 采用 TEDDCF 作为主干，通过双通道编码为后续证据修正提供共享表征。</w:t>
      </w:r>
    </w:p>
    <w:p w14:paraId="3B8A14A8">
      <w:pPr>
        <w:spacing w:line="360" w:lineRule="auto"/>
        <w:ind w:firstLine="480" w:firstLineChars="200"/>
        <w:rPr>
          <w:sz w:val="24"/>
          <w:highlight w:val="none"/>
        </w:rPr>
      </w:pPr>
      <w:r>
        <w:rPr>
          <w:sz w:val="24"/>
          <w:highlight w:val="none"/>
        </w:rPr>
        <w:t>首先，对历史流量进行单层离散小波分解与重构，获得低频和高频序列。两类序列分别标准化，并附加日内时刻与星期信息，形成输入</w:t>
      </w:r>
      <m:oMath>
        <m:sSub>
          <m:sSubPr>
            <m:ctrlPr>
              <w:rPr>
                <w:rFonts w:ascii="Cambria Math" w:hAnsi="Cambria Math"/>
                <w:sz w:val="24"/>
                <w:highlight w:val="none"/>
              </w:rPr>
            </m:ctrlPr>
          </m:sSubPr>
          <m:e>
            <m:r>
              <m:rPr/>
              <w:rPr>
                <w:rFonts w:ascii="Cambria Math" w:hAnsi="Cambria Math"/>
                <w:sz w:val="24"/>
                <w:highlight w:val="none"/>
              </w:rPr>
              <m:t>U</m:t>
            </m:r>
            <m:ctrlPr>
              <w:rPr>
                <w:rFonts w:ascii="Cambria Math" w:hAnsi="Cambria Math"/>
                <w:sz w:val="24"/>
                <w:highlight w:val="none"/>
              </w:rPr>
            </m:ctrlPr>
          </m:e>
          <m:sub>
            <m:r>
              <m:rPr/>
              <w:rPr>
                <w:rFonts w:ascii="Cambria Math" w:hAnsi="Cambria Math"/>
                <w:sz w:val="24"/>
                <w:highlight w:val="none"/>
              </w:rPr>
              <m:t>L</m:t>
            </m:r>
            <m:ctrlPr>
              <w:rPr>
                <w:rFonts w:ascii="Cambria Math" w:hAnsi="Cambria Math"/>
                <w:sz w:val="24"/>
                <w:highlight w:val="none"/>
              </w:rPr>
            </m:ctrlPr>
          </m:sub>
        </m:sSub>
        <m:r>
          <m:rPr/>
          <w:rPr>
            <w:rFonts w:ascii="Cambria Math" w:hAnsi="Cambria Math"/>
            <w:sz w:val="24"/>
            <w:highlight w:val="none"/>
          </w:rPr>
          <m:t>,</m:t>
        </m:r>
        <m:sSub>
          <m:sSubPr>
            <m:ctrlPr>
              <w:rPr>
                <w:rFonts w:ascii="Cambria Math" w:hAnsi="Cambria Math"/>
                <w:sz w:val="24"/>
                <w:highlight w:val="none"/>
              </w:rPr>
            </m:ctrlPr>
          </m:sSubPr>
          <m:e>
            <m:r>
              <m:rPr/>
              <w:rPr>
                <w:rFonts w:ascii="Cambria Math" w:hAnsi="Cambria Math"/>
                <w:sz w:val="24"/>
                <w:highlight w:val="none"/>
              </w:rPr>
              <m:t>U</m:t>
            </m:r>
            <m:ctrlPr>
              <w:rPr>
                <w:rFonts w:ascii="Cambria Math" w:hAnsi="Cambria Math"/>
                <w:sz w:val="24"/>
                <w:highlight w:val="none"/>
              </w:rPr>
            </m:ctrlPr>
          </m:e>
          <m:sub>
            <m:r>
              <m:rPr/>
              <w:rPr>
                <w:rFonts w:ascii="Cambria Math" w:hAnsi="Cambria Math"/>
                <w:sz w:val="24"/>
                <w:highlight w:val="none"/>
              </w:rPr>
              <m:t>H</m:t>
            </m:r>
            <m:ctrlPr>
              <w:rPr>
                <w:rFonts w:ascii="Cambria Math" w:hAnsi="Cambria Math"/>
                <w:sz w:val="24"/>
                <w:highlight w:val="none"/>
              </w:rPr>
            </m:ctrlPr>
          </m:sub>
        </m:sSub>
        <m:r>
          <m:rPr/>
          <w:rPr>
            <w:rFonts w:ascii="Cambria Math" w:hAnsi="Cambria Math"/>
            <w:sz w:val="24"/>
            <w:highlight w:val="none"/>
          </w:rPr>
          <m:t>∈</m:t>
        </m:r>
        <m:sSup>
          <m:sSupPr>
            <m:ctrlPr>
              <w:rPr>
                <w:rFonts w:ascii="Cambria Math" w:hAnsi="Cambria Math"/>
                <w:sz w:val="24"/>
                <w:highlight w:val="none"/>
              </w:rPr>
            </m:ctrlPr>
          </m:sSupPr>
          <m:e>
            <m:r>
              <m:rPr>
                <m:scr m:val="double-struck"/>
              </m:rPr>
              <w:rPr>
                <w:rFonts w:ascii="Cambria Math" w:hAnsi="Cambria Math"/>
                <w:sz w:val="24"/>
                <w:highlight w:val="none"/>
              </w:rPr>
              <m:t>ℝ</m:t>
            </m:r>
            <m:ctrlPr>
              <w:rPr>
                <w:rFonts w:ascii="Cambria Math" w:hAnsi="Cambria Math"/>
                <w:sz w:val="24"/>
                <w:highlight w:val="none"/>
              </w:rPr>
            </m:ctrlPr>
          </m:e>
          <m:sup>
            <m:r>
              <m:rPr/>
              <w:rPr>
                <w:rFonts w:ascii="Cambria Math" w:hAnsi="Cambria Math"/>
                <w:sz w:val="24"/>
                <w:highlight w:val="none"/>
              </w:rPr>
              <m:t>T×N×3</m:t>
            </m:r>
            <m:ctrlPr>
              <w:rPr>
                <w:rFonts w:ascii="Cambria Math" w:hAnsi="Cambria Math"/>
                <w:sz w:val="24"/>
                <w:highlight w:val="none"/>
              </w:rPr>
            </m:ctrlPr>
          </m:sup>
        </m:sSup>
      </m:oMath>
      <w:r>
        <w:rPr>
          <w:sz w:val="24"/>
          <w:highlight w:val="none"/>
        </w:rPr>
        <w:t>。低频通道通过时间自注意力与趋势图编码提取特征，高频通道通过时间卷积与事件图编码刻画短时动态：</w:t>
      </w:r>
      <w:r>
        <w:rPr>
          <w:position w:val="-4"/>
          <w:sz w:val="24"/>
          <w:highlight w:val="none"/>
        </w:rPr>
        <w:object>
          <v:shape id="_x0000_i1028" o:spt="75" type="#_x0000_t75" style="height:13.95pt;width: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sz w:val="24"/>
          <w:highlight w:val="none"/>
        </w:rPr>
        <w:drawing>
          <wp:inline distT="0" distB="0" distL="0" distR="0">
            <wp:extent cx="809625" cy="295275"/>
            <wp:effectExtent l="0" t="0" r="9525" b="9525"/>
            <wp:docPr id="121653828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38282" name="图片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09625" cy="295275"/>
                    </a:xfrm>
                    <a:prstGeom prst="rect">
                      <a:avLst/>
                    </a:prstGeom>
                    <a:noFill/>
                    <a:ln>
                      <a:noFill/>
                    </a:ln>
                  </pic:spPr>
                </pic:pic>
              </a:graphicData>
            </a:graphic>
          </wp:inline>
        </w:drawing>
      </w:r>
    </w:p>
    <w:p w14:paraId="3B474D1E">
      <w:pPr>
        <w:spacing w:line="360" w:lineRule="auto"/>
        <w:ind w:firstLine="480" w:firstLineChars="200"/>
        <w:rPr>
          <w:sz w:val="24"/>
          <w:highlight w:val="none"/>
        </w:rPr>
      </w:pPr>
      <w:r>
        <w:rPr>
          <w:sz w:val="24"/>
          <w:highlight w:val="none"/>
        </w:rPr>
        <w:drawing>
          <wp:inline distT="0" distB="0" distL="0" distR="0">
            <wp:extent cx="866775" cy="190500"/>
            <wp:effectExtent l="0" t="0" r="9525" b="0"/>
            <wp:docPr id="19102967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6735" name="图片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66775" cy="190500"/>
                    </a:xfrm>
                    <a:prstGeom prst="rect">
                      <a:avLst/>
                    </a:prstGeom>
                    <a:noFill/>
                    <a:ln>
                      <a:noFill/>
                    </a:ln>
                  </pic:spPr>
                </pic:pic>
              </a:graphicData>
            </a:graphic>
          </wp:inline>
        </w:drawing>
      </w:r>
      <w:r>
        <w:rPr>
          <w:sz w:val="24"/>
          <w:highlight w:val="none"/>
        </w:rPr>
        <w:t xml:space="preserve"> </w:t>
      </w:r>
    </w:p>
    <w:p w14:paraId="39665ACE">
      <w:pPr>
        <w:spacing w:line="360" w:lineRule="auto"/>
        <w:ind w:firstLine="480" w:firstLineChars="200"/>
        <w:rPr>
          <w:sz w:val="24"/>
          <w:highlight w:val="none"/>
        </w:rPr>
      </w:pPr>
      <w:r>
        <w:rPr>
          <w:sz w:val="24"/>
          <w:highlight w:val="none"/>
        </w:rPr>
        <w:drawing>
          <wp:inline distT="0" distB="0" distL="0" distR="0">
            <wp:extent cx="2324100" cy="190500"/>
            <wp:effectExtent l="0" t="0" r="0" b="0"/>
            <wp:docPr id="4397270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27057" name="图片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4100" cy="190500"/>
                    </a:xfrm>
                    <a:prstGeom prst="rect">
                      <a:avLst/>
                    </a:prstGeom>
                    <a:noFill/>
                    <a:ln>
                      <a:noFill/>
                    </a:ln>
                  </pic:spPr>
                </pic:pic>
              </a:graphicData>
            </a:graphic>
          </wp:inline>
        </w:drawing>
      </w:r>
    </w:p>
    <w:p w14:paraId="4FEA0DBF">
      <w:pPr>
        <w:spacing w:line="360" w:lineRule="auto"/>
        <w:ind w:firstLine="420" w:firstLineChars="200"/>
        <w:rPr>
          <w:rFonts w:hint="eastAsia"/>
          <w:highlight w:val="none"/>
        </w:rPr>
      </w:pPr>
      <w:r>
        <w:rPr>
          <w:highlight w:val="none"/>
        </w:rPr>
        <w:br w:type="page"/>
      </w:r>
    </w:p>
    <w:p w14:paraId="6C3E9BD8">
      <w:pPr>
        <w:rPr>
          <w:rFonts w:hint="eastAsia" w:ascii="黑体" w:hAnsi="黑体" w:eastAsia="黑体" w:cs="黑体"/>
          <w:sz w:val="28"/>
          <w:szCs w:val="28"/>
          <w:highlight w:val="none"/>
        </w:rPr>
      </w:pPr>
      <w:r>
        <w:rPr>
          <w:rFonts w:hint="eastAsia" w:ascii="黑体" w:hAnsi="黑体" w:eastAsia="黑体" w:cs="黑体"/>
          <w:sz w:val="28"/>
          <w:szCs w:val="28"/>
          <w:highlight w:val="none"/>
        </w:rPr>
        <w:t>参考文献</w:t>
      </w:r>
    </w:p>
    <w:p w14:paraId="2911F01B">
      <w:pPr>
        <w:pStyle w:val="4"/>
        <w:widowControl/>
        <w:spacing w:beforeAutospacing="0" w:afterAutospacing="0"/>
        <w:rPr>
          <w:rFonts w:ascii="Times New Roman" w:hAnsi="Times New Roman"/>
          <w:highlight w:val="none"/>
        </w:rPr>
      </w:pPr>
      <w:r>
        <w:rPr>
          <w:rStyle w:val="7"/>
          <w:rFonts w:ascii="Times New Roman" w:hAnsi="Times New Roman"/>
          <w:highlight w:val="none"/>
        </w:rPr>
        <w:t>[1]</w:t>
      </w:r>
      <w:r>
        <w:rPr>
          <w:rFonts w:ascii="Times New Roman" w:hAnsi="Times New Roman"/>
          <w:highlight w:val="none"/>
        </w:rPr>
        <w:t xml:space="preserve"> Y. Li, R. Yu, C. Shahabi, and Y. Liu, “Diffusion convolutional recurrent neural network: Data-driven traffic forecasting,” in </w:t>
      </w:r>
      <w:r>
        <w:rPr>
          <w:rStyle w:val="8"/>
          <w:rFonts w:ascii="Times New Roman" w:hAnsi="Times New Roman"/>
          <w:highlight w:val="none"/>
        </w:rPr>
        <w:t>Proc. Int. Conf. Learn. Represent. (ICLR)</w:t>
      </w:r>
      <w:r>
        <w:rPr>
          <w:rFonts w:ascii="Times New Roman" w:hAnsi="Times New Roman"/>
          <w:highlight w:val="none"/>
        </w:rPr>
        <w:t xml:space="preserve">, 2018. </w:t>
      </w:r>
    </w:p>
    <w:p w14:paraId="7277D07E">
      <w:pPr>
        <w:pStyle w:val="4"/>
        <w:widowControl/>
        <w:spacing w:beforeAutospacing="0" w:afterAutospacing="0"/>
        <w:rPr>
          <w:rFonts w:ascii="Times New Roman" w:hAnsi="Times New Roman"/>
          <w:highlight w:val="none"/>
        </w:rPr>
      </w:pPr>
      <w:r>
        <w:rPr>
          <w:rStyle w:val="7"/>
          <w:rFonts w:ascii="Times New Roman" w:hAnsi="Times New Roman"/>
          <w:highlight w:val="none"/>
        </w:rPr>
        <w:t>[2]</w:t>
      </w:r>
      <w:r>
        <w:rPr>
          <w:rFonts w:ascii="Times New Roman" w:hAnsi="Times New Roman"/>
          <w:highlight w:val="none"/>
        </w:rPr>
        <w:t xml:space="preserve"> B. Yu, H. Yin, and Z. Zhu, “Spatio-temporal graph convolutional networks: A deep learning framework for traffic forecasting,” in </w:t>
      </w:r>
      <w:r>
        <w:rPr>
          <w:rStyle w:val="8"/>
          <w:rFonts w:ascii="Times New Roman" w:hAnsi="Times New Roman"/>
          <w:highlight w:val="none"/>
        </w:rPr>
        <w:t>Proc. 27th Int. Joint Conf. Artif. Intell. (IJCAI)</w:t>
      </w:r>
      <w:r>
        <w:rPr>
          <w:rFonts w:ascii="Times New Roman" w:hAnsi="Times New Roman"/>
          <w:highlight w:val="none"/>
        </w:rPr>
        <w:t xml:space="preserve">, 2018, pp. 3634–3640. </w:t>
      </w:r>
    </w:p>
    <w:p w14:paraId="5FE9A1A7">
      <w:pPr>
        <w:pStyle w:val="4"/>
        <w:widowControl/>
        <w:spacing w:beforeAutospacing="0" w:afterAutospacing="0"/>
        <w:rPr>
          <w:rFonts w:ascii="Times New Roman" w:hAnsi="Times New Roman"/>
          <w:highlight w:val="none"/>
        </w:rPr>
      </w:pPr>
      <w:r>
        <w:rPr>
          <w:rStyle w:val="7"/>
          <w:rFonts w:ascii="Times New Roman" w:hAnsi="Times New Roman"/>
          <w:highlight w:val="none"/>
        </w:rPr>
        <w:t>[3]</w:t>
      </w:r>
      <w:r>
        <w:rPr>
          <w:rFonts w:ascii="Times New Roman" w:hAnsi="Times New Roman"/>
          <w:highlight w:val="none"/>
        </w:rPr>
        <w:t xml:space="preserve"> Z. Wu, S. Pan, G. Long, J. Jiang, and C. Zhang, “Graph WaveNet for deep spatial-temporal graph modeling,” in </w:t>
      </w:r>
      <w:r>
        <w:rPr>
          <w:rStyle w:val="8"/>
          <w:rFonts w:ascii="Times New Roman" w:hAnsi="Times New Roman"/>
          <w:highlight w:val="none"/>
        </w:rPr>
        <w:t>Proc. 28th Int. Joint Conf. Artif. Intell. (IJCAI)</w:t>
      </w:r>
      <w:r>
        <w:rPr>
          <w:rFonts w:ascii="Times New Roman" w:hAnsi="Times New Roman"/>
          <w:highlight w:val="none"/>
        </w:rPr>
        <w:t xml:space="preserve">, 2019, pp. 1907–1913. </w:t>
      </w:r>
    </w:p>
    <w:p w14:paraId="032EB2E3">
      <w:pPr>
        <w:pStyle w:val="4"/>
        <w:widowControl/>
        <w:spacing w:beforeAutospacing="0" w:afterAutospacing="0"/>
        <w:rPr>
          <w:rFonts w:ascii="Times New Roman" w:hAnsi="Times New Roman"/>
          <w:highlight w:val="none"/>
        </w:rPr>
      </w:pPr>
      <w:r>
        <w:rPr>
          <w:rStyle w:val="7"/>
          <w:rFonts w:ascii="Times New Roman" w:hAnsi="Times New Roman"/>
          <w:highlight w:val="none"/>
        </w:rPr>
        <w:t>[4]</w:t>
      </w:r>
      <w:r>
        <w:rPr>
          <w:rFonts w:ascii="Times New Roman" w:hAnsi="Times New Roman"/>
          <w:highlight w:val="none"/>
        </w:rPr>
        <w:t xml:space="preserve"> S. Guo, Y. Lin, N. Feng, C. Song, and H. Wan, “Attention based spatial-temporal graph convolutional networks for traffic flow forecasting,” in </w:t>
      </w:r>
      <w:r>
        <w:rPr>
          <w:rStyle w:val="8"/>
          <w:rFonts w:ascii="Times New Roman" w:hAnsi="Times New Roman"/>
          <w:highlight w:val="none"/>
        </w:rPr>
        <w:t>Proc. AAAI Conf. Artif. Intell.</w:t>
      </w:r>
      <w:r>
        <w:rPr>
          <w:rFonts w:ascii="Times New Roman" w:hAnsi="Times New Roman"/>
          <w:highlight w:val="none"/>
        </w:rPr>
        <w:t xml:space="preserve">, vol. 33, no. 1, 2019, pp. 922–929. </w:t>
      </w:r>
    </w:p>
    <w:p w14:paraId="09CF2248">
      <w:pPr>
        <w:pStyle w:val="4"/>
        <w:widowControl/>
        <w:spacing w:beforeAutospacing="0" w:afterAutospacing="0"/>
        <w:rPr>
          <w:rFonts w:ascii="Times New Roman" w:hAnsi="Times New Roman"/>
          <w:highlight w:val="none"/>
        </w:rPr>
      </w:pPr>
      <w:r>
        <w:rPr>
          <w:rStyle w:val="7"/>
          <w:rFonts w:ascii="Times New Roman" w:hAnsi="Times New Roman"/>
          <w:highlight w:val="none"/>
        </w:rPr>
        <w:t>[5]</w:t>
      </w:r>
      <w:r>
        <w:rPr>
          <w:rFonts w:ascii="Times New Roman" w:hAnsi="Times New Roman"/>
          <w:highlight w:val="none"/>
        </w:rPr>
        <w:t xml:space="preserve"> C. Zheng, X. Fan, C. Wang, and J. Qi, “GMAN: A graph multi-attention network for traffic prediction,” in </w:t>
      </w:r>
      <w:r>
        <w:rPr>
          <w:rStyle w:val="8"/>
          <w:rFonts w:ascii="Times New Roman" w:hAnsi="Times New Roman"/>
          <w:highlight w:val="none"/>
        </w:rPr>
        <w:t>Proc. AAAI Conf. Artif. Intell.</w:t>
      </w:r>
      <w:r>
        <w:rPr>
          <w:rFonts w:ascii="Times New Roman" w:hAnsi="Times New Roman"/>
          <w:highlight w:val="none"/>
        </w:rPr>
        <w:t xml:space="preserve">, vol. 34, no. 1, 2020, pp. 1234–1241. </w:t>
      </w:r>
    </w:p>
    <w:p w14:paraId="21E842B3">
      <w:pPr>
        <w:pStyle w:val="4"/>
        <w:widowControl/>
        <w:spacing w:beforeAutospacing="0" w:afterAutospacing="0"/>
        <w:rPr>
          <w:rFonts w:ascii="Times New Roman" w:hAnsi="Times New Roman"/>
          <w:highlight w:val="none"/>
        </w:rPr>
      </w:pPr>
      <w:r>
        <w:rPr>
          <w:rStyle w:val="7"/>
          <w:rFonts w:ascii="Times New Roman" w:hAnsi="Times New Roman"/>
          <w:highlight w:val="none"/>
        </w:rPr>
        <w:t>[6]</w:t>
      </w:r>
      <w:r>
        <w:rPr>
          <w:rFonts w:ascii="Times New Roman" w:hAnsi="Times New Roman"/>
          <w:highlight w:val="none"/>
        </w:rPr>
        <w:t xml:space="preserve"> Z. Wu, S. Pan, G. Long, J. Jiang, X. Chang, and C. Zhang, “Connecting the dots: Multivariate time series forecasting with graph neural networks,” in </w:t>
      </w:r>
      <w:r>
        <w:rPr>
          <w:rStyle w:val="8"/>
          <w:rFonts w:ascii="Times New Roman" w:hAnsi="Times New Roman"/>
          <w:highlight w:val="none"/>
        </w:rPr>
        <w:t>Proc. 26th ACM SIGKDD Int. Conf. Knowl. Discovery Data Mining (KDD)</w:t>
      </w:r>
      <w:r>
        <w:rPr>
          <w:rFonts w:ascii="Times New Roman" w:hAnsi="Times New Roman"/>
          <w:highlight w:val="none"/>
        </w:rPr>
        <w:t xml:space="preserve">, 2020, pp. 753–763. </w:t>
      </w:r>
    </w:p>
    <w:p w14:paraId="35BB79B7">
      <w:pPr>
        <w:pStyle w:val="4"/>
        <w:widowControl/>
        <w:spacing w:beforeAutospacing="0" w:afterAutospacing="0"/>
        <w:rPr>
          <w:rFonts w:ascii="Times New Roman" w:hAnsi="Times New Roman"/>
          <w:highlight w:val="none"/>
        </w:rPr>
      </w:pPr>
      <w:r>
        <w:rPr>
          <w:rStyle w:val="7"/>
          <w:rFonts w:ascii="Times New Roman" w:hAnsi="Times New Roman"/>
          <w:highlight w:val="none"/>
        </w:rPr>
        <w:t>[7]</w:t>
      </w:r>
      <w:r>
        <w:rPr>
          <w:rFonts w:ascii="Times New Roman" w:hAnsi="Times New Roman"/>
          <w:highlight w:val="none"/>
        </w:rPr>
        <w:t xml:space="preserve"> L. Bai, L. Yao, C. Li, X. Wang, and C. Wang, “Adaptive graph convolutional recurrent network for traffic forecasting,” in </w:t>
      </w:r>
      <w:r>
        <w:rPr>
          <w:rStyle w:val="8"/>
          <w:rFonts w:ascii="Times New Roman" w:hAnsi="Times New Roman"/>
          <w:highlight w:val="none"/>
        </w:rPr>
        <w:t>Adv. Neural Inf. Process. Syst. (NeurIPS)</w:t>
      </w:r>
      <w:r>
        <w:rPr>
          <w:rFonts w:ascii="Times New Roman" w:hAnsi="Times New Roman"/>
          <w:highlight w:val="none"/>
        </w:rPr>
        <w:t xml:space="preserve">, vol. 33, 2020, pp. 17804–17815. </w:t>
      </w:r>
    </w:p>
    <w:p w14:paraId="7C4F5523">
      <w:pPr>
        <w:pStyle w:val="4"/>
        <w:widowControl/>
        <w:spacing w:beforeAutospacing="0" w:afterAutospacing="0"/>
        <w:rPr>
          <w:rFonts w:ascii="Times New Roman" w:hAnsi="Times New Roman"/>
          <w:highlight w:val="none"/>
        </w:rPr>
      </w:pPr>
      <w:r>
        <w:rPr>
          <w:rStyle w:val="7"/>
          <w:rFonts w:ascii="Times New Roman" w:hAnsi="Times New Roman"/>
          <w:highlight w:val="none"/>
        </w:rPr>
        <w:t>[8]</w:t>
      </w:r>
      <w:r>
        <w:rPr>
          <w:rFonts w:ascii="Times New Roman" w:hAnsi="Times New Roman"/>
          <w:highlight w:val="none"/>
        </w:rPr>
        <w:t xml:space="preserve"> C. Song, Y. Lin, S. Guo, and H. Wan, “Spatial-temporal synchronous graph convolutional networks: A new framework for spatial-temporal network data forecasting,” in </w:t>
      </w:r>
      <w:r>
        <w:rPr>
          <w:rStyle w:val="8"/>
          <w:rFonts w:ascii="Times New Roman" w:hAnsi="Times New Roman"/>
          <w:highlight w:val="none"/>
        </w:rPr>
        <w:t>Proc. AAAI Conf. Artif. Intell.</w:t>
      </w:r>
      <w:r>
        <w:rPr>
          <w:rFonts w:ascii="Times New Roman" w:hAnsi="Times New Roman"/>
          <w:highlight w:val="none"/>
        </w:rPr>
        <w:t xml:space="preserve">, vol. 34, no. 1, 2020, pp. 914–921. </w:t>
      </w:r>
    </w:p>
    <w:p w14:paraId="2356E0E8">
      <w:pPr>
        <w:pStyle w:val="4"/>
        <w:widowControl/>
        <w:spacing w:beforeAutospacing="0" w:afterAutospacing="0"/>
        <w:rPr>
          <w:rFonts w:ascii="Times New Roman" w:hAnsi="Times New Roman"/>
          <w:highlight w:val="none"/>
        </w:rPr>
      </w:pPr>
      <w:r>
        <w:rPr>
          <w:rStyle w:val="7"/>
          <w:rFonts w:ascii="Times New Roman" w:hAnsi="Times New Roman"/>
          <w:highlight w:val="none"/>
        </w:rPr>
        <w:t>[9]</w:t>
      </w:r>
      <w:r>
        <w:rPr>
          <w:rFonts w:ascii="Times New Roman" w:hAnsi="Times New Roman"/>
          <w:highlight w:val="none"/>
        </w:rPr>
        <w:t xml:space="preserve"> M. Li and Z. Zhu, “Spatial-temporal fusion graph neural networks for traffic flow forecasting,” in </w:t>
      </w:r>
      <w:r>
        <w:rPr>
          <w:rStyle w:val="8"/>
          <w:rFonts w:ascii="Times New Roman" w:hAnsi="Times New Roman"/>
          <w:highlight w:val="none"/>
        </w:rPr>
        <w:t>Proc. AAAI Conf. Artif. Intell.</w:t>
      </w:r>
      <w:r>
        <w:rPr>
          <w:rFonts w:ascii="Times New Roman" w:hAnsi="Times New Roman"/>
          <w:highlight w:val="none"/>
        </w:rPr>
        <w:t xml:space="preserve">, vol. 35, no. 5, 2021, pp. 4189–4196. </w:t>
      </w:r>
    </w:p>
    <w:p w14:paraId="386774B1">
      <w:pPr>
        <w:pStyle w:val="4"/>
        <w:widowControl/>
        <w:spacing w:beforeAutospacing="0" w:afterAutospacing="0"/>
        <w:rPr>
          <w:rFonts w:ascii="Times New Roman" w:hAnsi="Times New Roman"/>
          <w:highlight w:val="none"/>
        </w:rPr>
      </w:pPr>
      <w:r>
        <w:rPr>
          <w:rStyle w:val="7"/>
          <w:rFonts w:ascii="Times New Roman" w:hAnsi="Times New Roman"/>
          <w:highlight w:val="none"/>
        </w:rPr>
        <w:t>[10]</w:t>
      </w:r>
      <w:r>
        <w:rPr>
          <w:rFonts w:ascii="Times New Roman" w:hAnsi="Times New Roman"/>
          <w:highlight w:val="none"/>
        </w:rPr>
        <w:t xml:space="preserve"> J. Jiang, C. Han, W. X. Zhao, and J. Wang, “PDFormer: Propagation delay-aware dynamic long-range Transformer for traffic flow prediction,” in </w:t>
      </w:r>
      <w:r>
        <w:rPr>
          <w:rStyle w:val="8"/>
          <w:rFonts w:ascii="Times New Roman" w:hAnsi="Times New Roman"/>
          <w:highlight w:val="none"/>
        </w:rPr>
        <w:t>Proc. AAAI Conf. Artif. Intell.</w:t>
      </w:r>
      <w:r>
        <w:rPr>
          <w:rFonts w:ascii="Times New Roman" w:hAnsi="Times New Roman"/>
          <w:highlight w:val="none"/>
        </w:rPr>
        <w:t xml:space="preserve">, vol. 37, no. 4, 2023, pp. 4365–4373. </w:t>
      </w:r>
    </w:p>
    <w:p w14:paraId="21819AE3">
      <w:pPr>
        <w:pStyle w:val="4"/>
        <w:widowControl/>
        <w:spacing w:beforeAutospacing="0" w:afterAutospacing="0"/>
        <w:rPr>
          <w:rFonts w:ascii="Times New Roman" w:hAnsi="Times New Roman"/>
          <w:highlight w:val="none"/>
        </w:rPr>
      </w:pPr>
      <w:r>
        <w:rPr>
          <w:rStyle w:val="7"/>
          <w:rFonts w:ascii="Times New Roman" w:hAnsi="Times New Roman"/>
          <w:highlight w:val="none"/>
        </w:rPr>
        <w:t>[11]</w:t>
      </w:r>
      <w:r>
        <w:rPr>
          <w:rFonts w:ascii="Times New Roman" w:hAnsi="Times New Roman"/>
          <w:highlight w:val="none"/>
        </w:rPr>
        <w:t xml:space="preserve"> Y. Fang, Y. Qin, H. Luo, F. Zhao, B. Xu, L. Zeng, and C. Wang, “When spatio-temporal meet wavelets: Disentangled traffic forecasting via efficient spectral graph attention networks,” in </w:t>
      </w:r>
      <w:r>
        <w:rPr>
          <w:rStyle w:val="8"/>
          <w:rFonts w:ascii="Times New Roman" w:hAnsi="Times New Roman"/>
          <w:highlight w:val="none"/>
        </w:rPr>
        <w:t>Proc. IEEE 39th Int. Conf. Data Eng. (ICDE)</w:t>
      </w:r>
      <w:r>
        <w:rPr>
          <w:rFonts w:ascii="Times New Roman" w:hAnsi="Times New Roman"/>
          <w:highlight w:val="none"/>
        </w:rPr>
        <w:t xml:space="preserve">, 2023, pp. 517–529. </w:t>
      </w:r>
    </w:p>
    <w:p w14:paraId="6D29E212">
      <w:pPr>
        <w:pStyle w:val="4"/>
        <w:widowControl/>
        <w:spacing w:beforeAutospacing="0" w:afterAutospacing="0"/>
        <w:rPr>
          <w:rFonts w:ascii="Times New Roman" w:hAnsi="Times New Roman"/>
          <w:highlight w:val="none"/>
        </w:rPr>
      </w:pPr>
      <w:r>
        <w:rPr>
          <w:rStyle w:val="7"/>
          <w:rFonts w:ascii="Times New Roman" w:hAnsi="Times New Roman"/>
          <w:highlight w:val="none"/>
        </w:rPr>
        <w:t>[12]</w:t>
      </w:r>
      <w:r>
        <w:rPr>
          <w:rFonts w:ascii="Times New Roman" w:hAnsi="Times New Roman"/>
          <w:highlight w:val="none"/>
        </w:rPr>
        <w:t xml:space="preserve"> Y. Nie, N. H. Nguyen, P. Sinthong, and J. Kalagnanam, “A time series is worth 64 words: Long-term forecasting with Transformers,” in </w:t>
      </w:r>
      <w:r>
        <w:rPr>
          <w:rStyle w:val="8"/>
          <w:rFonts w:ascii="Times New Roman" w:hAnsi="Times New Roman"/>
          <w:highlight w:val="none"/>
        </w:rPr>
        <w:t>Proc. Int. Conf. Learn. Represent. (ICLR)</w:t>
      </w:r>
      <w:r>
        <w:rPr>
          <w:rFonts w:ascii="Times New Roman" w:hAnsi="Times New Roman"/>
          <w:highlight w:val="none"/>
        </w:rPr>
        <w:t xml:space="preserve">, 2023. </w:t>
      </w:r>
    </w:p>
    <w:p w14:paraId="5370E517">
      <w:pPr>
        <w:pStyle w:val="4"/>
        <w:widowControl/>
        <w:spacing w:beforeAutospacing="0" w:afterAutospacing="0"/>
        <w:rPr>
          <w:rFonts w:ascii="Times New Roman" w:hAnsi="Times New Roman"/>
          <w:highlight w:val="none"/>
        </w:rPr>
      </w:pPr>
      <w:r>
        <w:rPr>
          <w:rStyle w:val="7"/>
          <w:rFonts w:ascii="Times New Roman" w:hAnsi="Times New Roman"/>
          <w:highlight w:val="none"/>
        </w:rPr>
        <w:t>[13]</w:t>
      </w:r>
      <w:r>
        <w:rPr>
          <w:rFonts w:ascii="Times New Roman" w:hAnsi="Times New Roman"/>
          <w:highlight w:val="none"/>
        </w:rPr>
        <w:t xml:space="preserve"> S. Wang, H. Wu, X. Shi, T. Hu, H. Luo, L. Ma, J. Y. Zhang, and J. Zhou, “TimeMixer: Decomposable multiscale mixing for time series forecasting,” in </w:t>
      </w:r>
      <w:r>
        <w:rPr>
          <w:rStyle w:val="8"/>
          <w:rFonts w:ascii="Times New Roman" w:hAnsi="Times New Roman"/>
          <w:highlight w:val="none"/>
        </w:rPr>
        <w:t>Proc. Int. Conf. Learn. Represent. (ICLR)</w:t>
      </w:r>
      <w:r>
        <w:rPr>
          <w:rFonts w:ascii="Times New Roman" w:hAnsi="Times New Roman"/>
          <w:highlight w:val="none"/>
        </w:rPr>
        <w:t xml:space="preserve">, 2024. </w:t>
      </w:r>
    </w:p>
    <w:p w14:paraId="2FAC4BAD">
      <w:pPr>
        <w:pStyle w:val="4"/>
        <w:widowControl/>
        <w:spacing w:beforeAutospacing="0" w:afterAutospacing="0"/>
        <w:rPr>
          <w:rFonts w:ascii="Times New Roman" w:hAnsi="Times New Roman"/>
          <w:highlight w:val="none"/>
        </w:rPr>
      </w:pPr>
      <w:r>
        <w:rPr>
          <w:rStyle w:val="7"/>
          <w:rFonts w:ascii="Times New Roman" w:hAnsi="Times New Roman"/>
          <w:highlight w:val="none"/>
        </w:rPr>
        <w:t>[14]</w:t>
      </w:r>
      <w:r>
        <w:rPr>
          <w:rFonts w:ascii="Times New Roman" w:hAnsi="Times New Roman"/>
          <w:highlight w:val="none"/>
        </w:rPr>
        <w:t xml:space="preserve"> J. Zhang, Y. Zheng, and D. Qi, “Deep spatio-temporal residual networks for citywide crowd flows prediction,” in </w:t>
      </w:r>
      <w:r>
        <w:rPr>
          <w:rStyle w:val="8"/>
          <w:rFonts w:ascii="Times New Roman" w:hAnsi="Times New Roman"/>
          <w:highlight w:val="none"/>
        </w:rPr>
        <w:t>Proc. AAAI Conf. Artif. Intell.</w:t>
      </w:r>
      <w:r>
        <w:rPr>
          <w:rFonts w:ascii="Times New Roman" w:hAnsi="Times New Roman"/>
          <w:highlight w:val="none"/>
        </w:rPr>
        <w:t xml:space="preserve">, vol. 31, no. 1, 2017, pp. 1655–1661. </w:t>
      </w:r>
    </w:p>
    <w:p w14:paraId="389A5C94">
      <w:pPr>
        <w:pStyle w:val="4"/>
        <w:widowControl/>
        <w:spacing w:beforeAutospacing="0" w:afterAutospacing="0"/>
        <w:rPr>
          <w:rFonts w:ascii="Times New Roman" w:hAnsi="Times New Roman"/>
          <w:highlight w:val="none"/>
        </w:rPr>
      </w:pPr>
      <w:r>
        <w:rPr>
          <w:rStyle w:val="7"/>
          <w:rFonts w:ascii="Times New Roman" w:hAnsi="Times New Roman"/>
          <w:highlight w:val="none"/>
        </w:rPr>
        <w:t>[15]</w:t>
      </w:r>
      <w:r>
        <w:rPr>
          <w:rFonts w:ascii="Times New Roman" w:hAnsi="Times New Roman"/>
          <w:highlight w:val="none"/>
        </w:rPr>
        <w:t xml:space="preserve"> Z. Lin, J. Feng, Z. Lu, Y. Li, and D. Jin, “DeepSTN+: Context-aware spatial-temporal neural network for crowd flow prediction in metropolis,” in </w:t>
      </w:r>
      <w:r>
        <w:rPr>
          <w:rStyle w:val="8"/>
          <w:rFonts w:ascii="Times New Roman" w:hAnsi="Times New Roman"/>
          <w:highlight w:val="none"/>
        </w:rPr>
        <w:t>Proc. AAAI Conf. Artif. Intell.</w:t>
      </w:r>
      <w:r>
        <w:rPr>
          <w:rFonts w:ascii="Times New Roman" w:hAnsi="Times New Roman"/>
          <w:highlight w:val="none"/>
        </w:rPr>
        <w:t xml:space="preserve">, vol. 33, no. 1, 2019, pp. 1020–1027. </w:t>
      </w:r>
    </w:p>
    <w:p w14:paraId="74AEE8A0">
      <w:pPr>
        <w:pStyle w:val="4"/>
        <w:widowControl/>
        <w:spacing w:beforeAutospacing="0" w:afterAutospacing="0"/>
        <w:rPr>
          <w:rFonts w:ascii="Times New Roman" w:hAnsi="Times New Roman"/>
          <w:highlight w:val="none"/>
        </w:rPr>
      </w:pPr>
      <w:r>
        <w:rPr>
          <w:rStyle w:val="7"/>
          <w:rFonts w:ascii="Times New Roman" w:hAnsi="Times New Roman"/>
          <w:highlight w:val="none"/>
        </w:rPr>
        <w:t>[16]</w:t>
      </w:r>
      <w:r>
        <w:rPr>
          <w:rFonts w:ascii="Times New Roman" w:hAnsi="Times New Roman"/>
          <w:highlight w:val="none"/>
        </w:rPr>
        <w:t xml:space="preserve"> D. A. Tedjopurnomo, Z. Bao, B. Zheng, F. M. Choudhury, and A. K. Qin, “A survey on modern deep neural network for traffic prediction: Trends, methods and challenges,” </w:t>
      </w:r>
      <w:r>
        <w:rPr>
          <w:rStyle w:val="8"/>
          <w:rFonts w:ascii="Times New Roman" w:hAnsi="Times New Roman"/>
          <w:highlight w:val="none"/>
        </w:rPr>
        <w:t>IEEE Trans. Knowl. Data Eng.</w:t>
      </w:r>
      <w:r>
        <w:rPr>
          <w:rFonts w:ascii="Times New Roman" w:hAnsi="Times New Roman"/>
          <w:highlight w:val="none"/>
        </w:rPr>
        <w:t xml:space="preserve">, vol. 34, no. 4, pp. 1544–1561, Apr. 2022. </w:t>
      </w:r>
    </w:p>
    <w:p w14:paraId="2C543FB8">
      <w:pPr>
        <w:pStyle w:val="4"/>
        <w:widowControl/>
        <w:spacing w:beforeAutospacing="0" w:afterAutospacing="0"/>
        <w:rPr>
          <w:rFonts w:ascii="Times New Roman" w:hAnsi="Times New Roman"/>
          <w:highlight w:val="none"/>
        </w:rPr>
      </w:pPr>
      <w:r>
        <w:rPr>
          <w:rStyle w:val="7"/>
          <w:rFonts w:ascii="Times New Roman" w:hAnsi="Times New Roman"/>
          <w:highlight w:val="none"/>
        </w:rPr>
        <w:t>[17]</w:t>
      </w:r>
      <w:r>
        <w:rPr>
          <w:rFonts w:ascii="Times New Roman" w:hAnsi="Times New Roman"/>
          <w:highlight w:val="none"/>
        </w:rPr>
        <w:t xml:space="preserve"> W. Jiang, J. Luo, M. He, and W. Gu, “Graph neural network for traffic forecasting: The research progress,” </w:t>
      </w:r>
      <w:r>
        <w:rPr>
          <w:rStyle w:val="8"/>
          <w:rFonts w:ascii="Times New Roman" w:hAnsi="Times New Roman"/>
          <w:highlight w:val="none"/>
        </w:rPr>
        <w:t>ISPRS Int. J. Geo-Inf.</w:t>
      </w:r>
      <w:r>
        <w:rPr>
          <w:rFonts w:ascii="Times New Roman" w:hAnsi="Times New Roman"/>
          <w:highlight w:val="none"/>
        </w:rPr>
        <w:t xml:space="preserve">, vol. 12, no. 3, Art. no. 100, 2023. </w:t>
      </w:r>
    </w:p>
    <w:p w14:paraId="383CC09A">
      <w:pPr>
        <w:pStyle w:val="4"/>
        <w:widowControl/>
        <w:spacing w:beforeAutospacing="0" w:afterAutospacing="0"/>
        <w:rPr>
          <w:rFonts w:ascii="Times New Roman" w:hAnsi="Times New Roman"/>
          <w:highlight w:val="none"/>
        </w:rPr>
      </w:pPr>
      <w:r>
        <w:rPr>
          <w:rStyle w:val="7"/>
          <w:rFonts w:ascii="Times New Roman" w:hAnsi="Times New Roman"/>
          <w:highlight w:val="none"/>
        </w:rPr>
        <w:t>[18]</w:t>
      </w:r>
      <w:r>
        <w:rPr>
          <w:rFonts w:ascii="Times New Roman" w:hAnsi="Times New Roman"/>
          <w:highlight w:val="none"/>
        </w:rPr>
        <w:t xml:space="preserve"> Y. Xu, L. Wei, and L. Feng, “A spatial-temporal trend-event decoupling dual-channel framework for traffic flow prediction,” </w:t>
      </w:r>
      <w:r>
        <w:rPr>
          <w:rStyle w:val="8"/>
          <w:rFonts w:ascii="Times New Roman" w:hAnsi="Times New Roman"/>
          <w:highlight w:val="none"/>
        </w:rPr>
        <w:t>Expert Syst. Appl.</w:t>
      </w:r>
      <w:r>
        <w:rPr>
          <w:rFonts w:ascii="Times New Roman" w:hAnsi="Times New Roman"/>
          <w:highlight w:val="none"/>
        </w:rPr>
        <w:t xml:space="preserve">, vol. 287, Art. no. 128107, 2025. </w:t>
      </w:r>
    </w:p>
    <w:p w14:paraId="70B7EEEC">
      <w:pPr>
        <w:rPr>
          <w:rFonts w:hint="eastAsia" w:ascii="黑体" w:hAnsi="黑体" w:eastAsia="黑体" w:cs="黑体"/>
          <w:sz w:val="28"/>
          <w:szCs w:val="28"/>
          <w:highlight w:val="none"/>
        </w:rPr>
      </w:pPr>
    </w:p>
    <w:p w14:paraId="003B9089">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F8ADE">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1C662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31C662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B24A1"/>
    <w:multiLevelType w:val="multilevel"/>
    <w:tmpl w:val="8EFB24A1"/>
    <w:lvl w:ilvl="0" w:tentative="0">
      <w:start w:val="1"/>
      <w:numFmt w:val="decimal"/>
      <w:suff w:val="nothing"/>
      <w:lvlText w:val="%1."/>
      <w:lvlJc w:val="left"/>
      <w:pPr>
        <w:ind w:left="0" w:firstLine="42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D13255D3"/>
    <w:multiLevelType w:val="singleLevel"/>
    <w:tmpl w:val="D13255D3"/>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82502"/>
    <w:rsid w:val="00E52BDD"/>
    <w:rsid w:val="02E57354"/>
    <w:rsid w:val="03B03636"/>
    <w:rsid w:val="04B32AA4"/>
    <w:rsid w:val="054332F2"/>
    <w:rsid w:val="0586358B"/>
    <w:rsid w:val="05A52CD4"/>
    <w:rsid w:val="08AD47C9"/>
    <w:rsid w:val="09085D53"/>
    <w:rsid w:val="0AFA32AC"/>
    <w:rsid w:val="0B0457E7"/>
    <w:rsid w:val="0CF703A9"/>
    <w:rsid w:val="0DA03D99"/>
    <w:rsid w:val="0E54039D"/>
    <w:rsid w:val="0EA5371F"/>
    <w:rsid w:val="0F1210E4"/>
    <w:rsid w:val="1164179E"/>
    <w:rsid w:val="129538EC"/>
    <w:rsid w:val="12C16BDD"/>
    <w:rsid w:val="13357E9E"/>
    <w:rsid w:val="133766AA"/>
    <w:rsid w:val="13DB4C1C"/>
    <w:rsid w:val="15592E4F"/>
    <w:rsid w:val="15B40A75"/>
    <w:rsid w:val="15CA4D18"/>
    <w:rsid w:val="18547F82"/>
    <w:rsid w:val="18FE0ADC"/>
    <w:rsid w:val="19435421"/>
    <w:rsid w:val="196F735D"/>
    <w:rsid w:val="1C5F78A5"/>
    <w:rsid w:val="1D8D6A75"/>
    <w:rsid w:val="1E450E3C"/>
    <w:rsid w:val="1F6F073E"/>
    <w:rsid w:val="20846070"/>
    <w:rsid w:val="20E05A5B"/>
    <w:rsid w:val="217255D2"/>
    <w:rsid w:val="21782502"/>
    <w:rsid w:val="24B34E7F"/>
    <w:rsid w:val="255D7973"/>
    <w:rsid w:val="25C659B9"/>
    <w:rsid w:val="26D42E2D"/>
    <w:rsid w:val="273C0EE5"/>
    <w:rsid w:val="27476ED0"/>
    <w:rsid w:val="288A70C5"/>
    <w:rsid w:val="28F227E0"/>
    <w:rsid w:val="2AC13257"/>
    <w:rsid w:val="2AFD2F0D"/>
    <w:rsid w:val="2DFE2EC4"/>
    <w:rsid w:val="2E056295"/>
    <w:rsid w:val="2F146FFE"/>
    <w:rsid w:val="2FE60E90"/>
    <w:rsid w:val="2FF6588A"/>
    <w:rsid w:val="30261F05"/>
    <w:rsid w:val="32E46701"/>
    <w:rsid w:val="344828F8"/>
    <w:rsid w:val="3460040C"/>
    <w:rsid w:val="358A418D"/>
    <w:rsid w:val="35AE63AE"/>
    <w:rsid w:val="365C2A91"/>
    <w:rsid w:val="3677635F"/>
    <w:rsid w:val="3817420E"/>
    <w:rsid w:val="396D36AA"/>
    <w:rsid w:val="39A04924"/>
    <w:rsid w:val="3A620CD2"/>
    <w:rsid w:val="3B307B9A"/>
    <w:rsid w:val="3C0F179A"/>
    <w:rsid w:val="3DB00D27"/>
    <w:rsid w:val="3FE81550"/>
    <w:rsid w:val="405D76A1"/>
    <w:rsid w:val="41B07643"/>
    <w:rsid w:val="42D50EAC"/>
    <w:rsid w:val="43096222"/>
    <w:rsid w:val="43491251"/>
    <w:rsid w:val="438A08E1"/>
    <w:rsid w:val="44BF7B33"/>
    <w:rsid w:val="45102609"/>
    <w:rsid w:val="462B1F2B"/>
    <w:rsid w:val="468D4B09"/>
    <w:rsid w:val="4745047F"/>
    <w:rsid w:val="47B84A1D"/>
    <w:rsid w:val="48971986"/>
    <w:rsid w:val="489B410C"/>
    <w:rsid w:val="495F4514"/>
    <w:rsid w:val="496C4368"/>
    <w:rsid w:val="4BFC7DC7"/>
    <w:rsid w:val="4CD30122"/>
    <w:rsid w:val="4CE433EB"/>
    <w:rsid w:val="4CF31594"/>
    <w:rsid w:val="4E790E2E"/>
    <w:rsid w:val="514C730E"/>
    <w:rsid w:val="52B334BE"/>
    <w:rsid w:val="534A6576"/>
    <w:rsid w:val="53896BCF"/>
    <w:rsid w:val="54C26763"/>
    <w:rsid w:val="55550BD9"/>
    <w:rsid w:val="557304E8"/>
    <w:rsid w:val="56C7422E"/>
    <w:rsid w:val="57E22D19"/>
    <w:rsid w:val="58793AC4"/>
    <w:rsid w:val="5A79532C"/>
    <w:rsid w:val="5C92649C"/>
    <w:rsid w:val="5D5D5460"/>
    <w:rsid w:val="5D932CA5"/>
    <w:rsid w:val="5DFF3A28"/>
    <w:rsid w:val="5F256D81"/>
    <w:rsid w:val="5F9D0218"/>
    <w:rsid w:val="5FC15209"/>
    <w:rsid w:val="6296078B"/>
    <w:rsid w:val="6378725B"/>
    <w:rsid w:val="63DA5A20"/>
    <w:rsid w:val="65FF2580"/>
    <w:rsid w:val="69020CEC"/>
    <w:rsid w:val="6B426212"/>
    <w:rsid w:val="6B866CED"/>
    <w:rsid w:val="6C9E13A2"/>
    <w:rsid w:val="6DA253D5"/>
    <w:rsid w:val="6EFD2F3E"/>
    <w:rsid w:val="6F8579E2"/>
    <w:rsid w:val="6FF403CE"/>
    <w:rsid w:val="70505DA3"/>
    <w:rsid w:val="71A066FC"/>
    <w:rsid w:val="727D3192"/>
    <w:rsid w:val="72ED6367"/>
    <w:rsid w:val="7A716C52"/>
    <w:rsid w:val="7AD71AB2"/>
    <w:rsid w:val="7B064F2D"/>
    <w:rsid w:val="7B304708"/>
    <w:rsid w:val="7BBF1DB9"/>
    <w:rsid w:val="7C690C47"/>
    <w:rsid w:val="7DCC0929"/>
    <w:rsid w:val="7DD270EF"/>
    <w:rsid w:val="7DF3414E"/>
    <w:rsid w:val="7EFF7750"/>
    <w:rsid w:val="7FD16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Web)"/>
    <w:basedOn w:val="1"/>
    <w:qFormat/>
    <w:uiPriority w:val="0"/>
    <w:pPr>
      <w:spacing w:beforeAutospacing="1" w:afterAutospacing="1"/>
      <w:jc w:val="left"/>
    </w:pPr>
    <w:rPr>
      <w:rFonts w:cs="Times New Roman"/>
      <w:kern w:val="0"/>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annotation reference"/>
    <w:basedOn w:val="6"/>
    <w:qFormat/>
    <w:uiPriority w:val="0"/>
    <w:rPr>
      <w:sz w:val="21"/>
      <w:szCs w:val="21"/>
    </w:rPr>
  </w:style>
  <w:style w:type="paragraph" w:customStyle="1" w:styleId="10">
    <w:name w:val="MTDisplayEquation"/>
    <w:basedOn w:val="1"/>
    <w:next w:val="1"/>
    <w:qFormat/>
    <w:uiPriority w:val="0"/>
    <w:pPr>
      <w:widowControl/>
      <w:tabs>
        <w:tab w:val="center" w:pos="4160"/>
        <w:tab w:val="right" w:pos="8300"/>
      </w:tabs>
      <w:jc w:val="left"/>
    </w:pPr>
    <w:rPr>
      <w:rFonts w:ascii="Times New Roman" w:hAnsi="Times New Roman" w:cs="Times New Roman"/>
      <w:kern w:val="0"/>
      <w:sz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2026-10-26T02:16:00Z</dcterms:created>
  <dc:creator>Kk.</dc:creator>
  <cp:lastModifiedBy>Kk.</cp:lastModifiedBy>
  <dcterms:modified xsi:type="dcterms:W3CDTF">2026-10-26T02:16:45Z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D2F44F15D2B24331833A162620A269AD_11</vt:lpwstr>
  </property>
  <property fmtid="{D5CDD505-2E9C-101B-9397-08002B2CF9AE}" pid="4" name="KSOTemplateDocerSaveRecord">
    <vt:lpwstr>eyJoZGlkIjoiMjBiMzI0OWUyYzgyYzdjZTk4Yzg2OTc1MGU2Nzg3ODkiLCJ1c2VySWQiOiI5MDE5NDg5NjgifQ==</vt:lpwstr>
  </property>
</Properties>
</file>