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dobe Devanagari" w:cs="Adobe Devanagari" w:eastAsia="Adobe Devanagari" w:hAnsi="Adobe Devanagari"/>
          <w:sz w:val="28"/>
          <w:szCs w:val="28"/>
        </w:rPr>
      </w:pPr>
      <w:r w:rsidDel="00000000" w:rsidR="00000000" w:rsidRPr="00000000">
        <w:rPr>
          <w:rFonts w:ascii="Adobe Devanagari" w:cs="Adobe Devanagari" w:eastAsia="Adobe Devanagari" w:hAnsi="Adobe Devanagari"/>
        </w:rPr>
        <w:drawing>
          <wp:inline distB="0" distT="0" distL="0" distR="0">
            <wp:extent cx="5227320" cy="9829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119" w:before="28"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3">
      <w:pPr>
        <w:spacing w:after="119" w:before="28"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4">
      <w:pPr>
        <w:spacing w:after="119" w:before="28"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5">
      <w:pPr>
        <w:spacing w:after="119" w:before="28" w:line="276" w:lineRule="auto"/>
        <w:jc w:val="center"/>
        <w:rPr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Фізико-Технічний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Lines w:val="0"/>
        <w:spacing w:after="60" w:before="240" w:line="276" w:lineRule="auto"/>
        <w:jc w:val="center"/>
        <w:rPr>
          <w:rFonts w:ascii="Georgia" w:cs="Georgia" w:eastAsia="Georgia" w:hAnsi="Georgia"/>
          <w:b w:val="1"/>
        </w:rPr>
      </w:pPr>
      <w:bookmarkStart w:colFirst="0" w:colLast="0" w:name="_8xzt1yj1p8ld" w:id="0"/>
      <w:bookmarkEnd w:id="0"/>
      <w:r w:rsidDel="00000000" w:rsidR="00000000" w:rsidRPr="00000000">
        <w:rPr>
          <w:rFonts w:ascii="Cousine" w:cs="Cousine" w:eastAsia="Cousine" w:hAnsi="Cousine"/>
          <w:b w:val="1"/>
          <w:rtl w:val="0"/>
        </w:rPr>
        <w:t xml:space="preserve">Лабораторна робота № 2 </w:t>
        <w:br w:type="textWrapping"/>
        <w:t xml:space="preserve">з семестрового курсу </w:t>
      </w:r>
    </w:p>
    <w:p w:rsidR="00000000" w:rsidDel="00000000" w:rsidP="00000000" w:rsidRDefault="00000000" w:rsidRPr="00000000" w14:paraId="00000009">
      <w:pPr>
        <w:pStyle w:val="Heading1"/>
        <w:keepLines w:val="0"/>
        <w:spacing w:after="60" w:before="0" w:line="276" w:lineRule="auto"/>
        <w:jc w:val="center"/>
        <w:rPr/>
      </w:pPr>
      <w:bookmarkStart w:colFirst="0" w:colLast="0" w:name="_2zxecn50pj8n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“Проектування високонавантажених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76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Студентка групи ФІ-03</w:t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Швець Катерина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Київ, 2023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Реалізація каунтера з використанням PostgreSQL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Необхідно декількома способами резалізувати оновлення значення каунтера в СКБД PostgreSQL та оцінити час кожного із варіантів.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Реалізувати оновлення значення каунтера методами Lost-update, In-place update, Row-level locking, Optimistic concurrency control. Заміряти час виконання кожного.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Час виконання: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Lost-update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In-place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Row-level locking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Optimistic concurrency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15.22s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15.21s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25.27s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90.79s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dobe Devanagari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