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200"/>
        <w:jc w:val="center"/>
      </w:pPr>
      <w:r>
        <w:rPr>
          <w:rFonts w:ascii="Arial" w:cs="Arial" w:eastAsia="Arial" w:hAnsi="Arial"/>
          <w:b/>
          <w:bCs/>
          <w:color w:val="1F4E79"/>
          <w:sz w:val="52"/>
          <w:szCs w:val="52"/>
        </w:rPr>
        <w:t xml:space="preserve">BUSINESS REQUIREMENT DOCUMENT</w:t>
      </w:r>
    </w:p>
    <w:p>
      <w:pPr>
        <w:spacing w:before="0" w:after="120"/>
        <w:jc w:val="center"/>
      </w:pPr>
      <w:r>
        <w:rPr>
          <w:rFonts w:ascii="Arial" w:cs="Arial" w:eastAsia="Arial" w:hAnsi="Arial"/>
          <w:color w:val="2E75B6"/>
          <w:sz w:val="40"/>
          <w:szCs w:val="40"/>
        </w:rPr>
        <w:t xml:space="preserve">Industrial Equipment &amp; Hardware</w:t>
      </w:r>
    </w:p>
    <w:p>
      <w:pPr>
        <w:spacing w:before="0" w:after="120"/>
        <w:jc w:val="center"/>
      </w:pPr>
      <w:r>
        <w:rPr>
          <w:rFonts w:ascii="Arial" w:cs="Arial" w:eastAsia="Arial" w:hAnsi="Arial"/>
          <w:color w:val="595959"/>
          <w:sz w:val="34"/>
          <w:szCs w:val="34"/>
        </w:rPr>
        <w:t xml:space="preserve">ERP / Inventory &amp; Billing System</w:t>
      </w:r>
    </w:p>
    <w:p>
      <w:pPr>
        <w:spacing w:before="200" w:after="0"/>
      </w:pPr>
      <w:r>
        <w:t xml:space="preserve"/>
      </w:r>
    </w:p>
    <w:p>
      <w:pPr>
        <w:spacing w:before="80" w:after="80"/>
        <w:jc w:val="center"/>
      </w:pPr>
      <w:r>
        <w:rPr>
          <w:rFonts w:ascii="Arial" w:cs="Arial" w:eastAsia="Arial" w:hAnsi="Arial"/>
          <w:i/>
          <w:iCs/>
          <w:color w:val="595959"/>
          <w:sz w:val="22"/>
          <w:szCs w:val="22"/>
        </w:rPr>
        <w:t xml:space="preserve">Version 1.2  |  Draft</w:t>
      </w:r>
    </w:p>
    <w:p>
      <w:pPr>
        <w:spacing w:before="80" w:after="80"/>
        <w:jc w:val="center"/>
      </w:pPr>
      <w:r>
        <w:rPr>
          <w:rFonts w:ascii="Arial" w:cs="Arial" w:eastAsia="Arial" w:hAnsi="Arial"/>
          <w:i/>
          <w:iCs/>
          <w:color w:val="595959"/>
          <w:sz w:val="22"/>
          <w:szCs w:val="22"/>
        </w:rPr>
        <w:t xml:space="preserve">For Review &amp; Sign-off</w:t>
      </w:r>
    </w:p>
    <w:p>
      <w:pPr>
        <w:spacing w:before="800" w:after="0"/>
      </w:pPr>
      <w:r>
        <w:t xml:space="preserve"/>
      </w:r>
    </w:p>
    <w:p>
      <w:pPr>
        <w:pBdr>
          <w:top w:val="single" w:color="CCCCCC" w:sz="4"/>
        </w:pBdr>
        <w:spacing w:before="0" w:after="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1. Overview</w:t>
      </w:r>
    </w:p>
    <w:p>
      <w:pPr>
        <w:spacing w:before="60" w:after="80"/>
      </w:pPr>
      <w:r>
        <w:rPr>
          <w:rFonts w:ascii="Arial" w:cs="Arial" w:eastAsia="Arial" w:hAnsi="Arial"/>
          <w:color w:val="2C2C2C"/>
          <w:sz w:val="22"/>
          <w:szCs w:val="22"/>
        </w:rPr>
        <w:t xml:space="preserve">This document defines the functional requirements for an integrated ERP system for a business dealing in Industrial Equipment and Hardware products. The system will cover inventory tracking, procurement, sales billing, GST compliance, accounting, and user access control.</w:t>
      </w:r>
    </w:p>
    <w:p>
      <w:pPr>
        <w:spacing w:before="80" w:after="0"/>
      </w:pPr>
      <w:r>
        <w:t xml:space="preserve"/>
      </w:r>
    </w:p>
    <w:p>
      <w:pPr>
        <w:spacing w:before="60" w:after="80"/>
      </w:pPr>
      <w:r>
        <w:rPr>
          <w:rFonts w:ascii="Arial" w:cs="Arial" w:eastAsia="Arial" w:hAnsi="Arial"/>
          <w:color w:val="2C2C2C"/>
          <w:sz w:val="22"/>
          <w:szCs w:val="22"/>
        </w:rPr>
        <w:t xml:space="preserve">The system is intended to be the single source of truth for all business operations — replacing manual processes, spreadsheets, or disconnected tools.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1.1 What the Business Deals In</w:t>
      </w:r>
    </w:p>
    <w:p>
      <w:pPr>
        <w:pStyle w:val="ListParagraph"/>
        <w:numPr>
          <w:ilvl w:val="0"/>
          <w:numId w:val="2"/>
        </w:numPr>
        <w:spacing w:before="40" w:after="40"/>
      </w:pPr>
      <w:r>
        <w:rPr>
          <w:rFonts w:ascii="Arial" w:cs="Arial" w:eastAsia="Arial" w:hAnsi="Arial"/>
          <w:color w:val="2C2C2C"/>
          <w:sz w:val="22"/>
          <w:szCs w:val="22"/>
        </w:rPr>
        <w:t xml:space="preserve">Industrial Equipment &amp; Hardware — tools, machinery, and hardware across multiple categories and variants (size, capacity, brand, model, specification)</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1.2 Core Goals</w:t>
      </w:r>
    </w:p>
    <w:p>
      <w:pPr>
        <w:pStyle w:val="ListParagraph"/>
        <w:numPr>
          <w:ilvl w:val="0"/>
          <w:numId w:val="3"/>
        </w:numPr>
        <w:spacing w:before="40" w:after="40"/>
      </w:pPr>
      <w:r>
        <w:rPr>
          <w:rFonts w:ascii="Arial" w:cs="Arial" w:eastAsia="Arial" w:hAnsi="Arial"/>
          <w:color w:val="2C2C2C"/>
          <w:sz w:val="22"/>
          <w:szCs w:val="22"/>
        </w:rPr>
        <w:t xml:space="preserve">Accurate, real-time stock tracking across all product types and variants</w:t>
      </w:r>
    </w:p>
    <w:p>
      <w:pPr>
        <w:pStyle w:val="ListParagraph"/>
        <w:numPr>
          <w:ilvl w:val="0"/>
          <w:numId w:val="3"/>
        </w:numPr>
        <w:spacing w:before="40" w:after="40"/>
      </w:pPr>
      <w:r>
        <w:rPr>
          <w:rFonts w:ascii="Arial" w:cs="Arial" w:eastAsia="Arial" w:hAnsi="Arial"/>
          <w:color w:val="2C2C2C"/>
          <w:sz w:val="22"/>
          <w:szCs w:val="22"/>
        </w:rPr>
        <w:t xml:space="preserve">GST-compliant billing with correct invoice formats for India</w:t>
      </w:r>
    </w:p>
    <w:p>
      <w:pPr>
        <w:pStyle w:val="ListParagraph"/>
        <w:numPr>
          <w:ilvl w:val="0"/>
          <w:numId w:val="3"/>
        </w:numPr>
        <w:spacing w:before="40" w:after="40"/>
      </w:pPr>
      <w:r>
        <w:rPr>
          <w:rFonts w:ascii="Arial" w:cs="Arial" w:eastAsia="Arial" w:hAnsi="Arial"/>
          <w:color w:val="2C2C2C"/>
          <w:sz w:val="22"/>
          <w:szCs w:val="22"/>
        </w:rPr>
        <w:t xml:space="preserve">Full double-entry accounting — no shortcuts, no 'adjust later'</w:t>
      </w:r>
    </w:p>
    <w:p>
      <w:pPr>
        <w:pStyle w:val="ListParagraph"/>
        <w:numPr>
          <w:ilvl w:val="0"/>
          <w:numId w:val="3"/>
        </w:numPr>
        <w:spacing w:before="40" w:after="40"/>
      </w:pPr>
      <w:r>
        <w:rPr>
          <w:rFonts w:ascii="Arial" w:cs="Arial" w:eastAsia="Arial" w:hAnsi="Arial"/>
          <w:color w:val="2C2C2C"/>
          <w:sz w:val="22"/>
          <w:szCs w:val="22"/>
        </w:rPr>
        <w:t xml:space="preserve">Vendor and customer account management with ledger history</w:t>
      </w:r>
    </w:p>
    <w:p>
      <w:pPr>
        <w:pStyle w:val="ListParagraph"/>
        <w:numPr>
          <w:ilvl w:val="0"/>
          <w:numId w:val="3"/>
        </w:numPr>
        <w:spacing w:before="40" w:after="40"/>
      </w:pPr>
      <w:r>
        <w:rPr>
          <w:rFonts w:ascii="Arial" w:cs="Arial" w:eastAsia="Arial" w:hAnsi="Arial"/>
          <w:color w:val="2C2C2C"/>
          <w:sz w:val="22"/>
          <w:szCs w:val="22"/>
        </w:rPr>
        <w:t xml:space="preserve">Role-based access so the right people see the right things</w:t>
      </w:r>
    </w:p>
    <w:p>
      <w:pPr>
        <w:pStyle w:val="ListParagraph"/>
        <w:numPr>
          <w:ilvl w:val="0"/>
          <w:numId w:val="3"/>
        </w:numPr>
        <w:spacing w:before="40" w:after="40"/>
      </w:pPr>
      <w:r>
        <w:rPr>
          <w:rFonts w:ascii="Arial" w:cs="Arial" w:eastAsia="Arial" w:hAnsi="Arial"/>
          <w:color w:val="2C2C2C"/>
          <w:sz w:val="22"/>
          <w:szCs w:val="22"/>
        </w:rPr>
        <w:t xml:space="preserve">Reliable reports for stock, sales, purchases, GST, and accounts</w:t>
      </w:r>
    </w:p>
    <w:p>
      <w:pPr>
        <w:pStyle w:val="Heading1"/>
        <w:pBdr>
          <w:bottom w:val="single" w:color="2E75B6" w:sz="8" w:space="4"/>
        </w:pBdr>
        <w:spacing w:before="400" w:after="160"/>
      </w:pPr>
      <w:r>
        <w:rPr>
          <w:rFonts w:ascii="Arial" w:cs="Arial" w:eastAsia="Arial" w:hAnsi="Arial"/>
          <w:b/>
          <w:bCs/>
          <w:color w:val="1F4E79"/>
          <w:sz w:val="32"/>
          <w:szCs w:val="32"/>
        </w:rPr>
        <w:t xml:space="preserve">2. Master Data Management</w:t>
      </w:r>
    </w:p>
    <w:p>
      <w:pPr>
        <w:spacing w:before="60" w:after="80"/>
      </w:pPr>
      <w:r>
        <w:rPr>
          <w:rFonts w:ascii="Arial" w:cs="Arial" w:eastAsia="Arial" w:hAnsi="Arial"/>
          <w:color w:val="2C2C2C"/>
          <w:sz w:val="22"/>
          <w:szCs w:val="22"/>
        </w:rPr>
        <w:t xml:space="preserve">Master data is the foundation of the system. All products, vendors, customers, and accounts must be set up here before any transactions can happen.</w:t>
      </w:r>
    </w:p>
    <w:p>
      <w:pPr>
        <w:pStyle w:val="Heading2"/>
        <w:spacing w:before="280" w:after="120"/>
      </w:pPr>
      <w:r>
        <w:rPr>
          <w:rFonts w:ascii="Arial" w:cs="Arial" w:eastAsia="Arial" w:hAnsi="Arial"/>
          <w:b/>
          <w:bCs/>
          <w:color w:val="2E75B6"/>
          <w:sz w:val="26"/>
          <w:szCs w:val="26"/>
        </w:rPr>
        <w:t xml:space="preserve">2.1 Product Categories</w:t>
      </w:r>
    </w:p>
    <w:p>
      <w:pPr>
        <w:spacing w:before="60" w:after="80"/>
      </w:pPr>
      <w:r>
        <w:rPr>
          <w:rFonts w:ascii="Arial" w:cs="Arial" w:eastAsia="Arial" w:hAnsi="Arial"/>
          <w:color w:val="2C2C2C"/>
          <w:sz w:val="22"/>
          <w:szCs w:val="22"/>
        </w:rPr>
        <w:t xml:space="preserve">Products are organized in a 3-level hierarchy, allowing the business to group and report on stock at any level:</w:t>
      </w:r>
    </w:p>
    <w:p>
      <w:pPr>
        <w:pStyle w:val="ListParagraph"/>
        <w:numPr>
          <w:ilvl w:val="0"/>
          <w:numId w:val="2"/>
        </w:numPr>
        <w:spacing w:before="40" w:after="40"/>
      </w:pPr>
      <w:r>
        <w:rPr>
          <w:rFonts w:ascii="Arial" w:cs="Arial" w:eastAsia="Arial" w:hAnsi="Arial"/>
          <w:color w:val="2C2C2C"/>
          <w:sz w:val="22"/>
          <w:szCs w:val="22"/>
        </w:rPr>
        <w:t xml:space="preserve">Level 1 — Category (e.g., Tools)</w:t>
      </w:r>
    </w:p>
    <w:p>
      <w:pPr>
        <w:pStyle w:val="ListParagraph"/>
        <w:numPr>
          <w:ilvl w:val="0"/>
          <w:numId w:val="2"/>
        </w:numPr>
        <w:spacing w:before="40" w:after="40"/>
      </w:pPr>
      <w:r>
        <w:rPr>
          <w:rFonts w:ascii="Arial" w:cs="Arial" w:eastAsia="Arial" w:hAnsi="Arial"/>
          <w:color w:val="2C2C2C"/>
          <w:sz w:val="22"/>
          <w:szCs w:val="22"/>
        </w:rPr>
        <w:t xml:space="preserve">Level 2 — Subcategory (e.g., Power Tools)</w:t>
      </w:r>
    </w:p>
    <w:p>
      <w:pPr>
        <w:pStyle w:val="ListParagraph"/>
        <w:numPr>
          <w:ilvl w:val="0"/>
          <w:numId w:val="2"/>
        </w:numPr>
        <w:spacing w:before="40" w:after="40"/>
      </w:pPr>
      <w:r>
        <w:rPr>
          <w:rFonts w:ascii="Arial" w:cs="Arial" w:eastAsia="Arial" w:hAnsi="Arial"/>
          <w:color w:val="2C2C2C"/>
          <w:sz w:val="22"/>
          <w:szCs w:val="22"/>
        </w:rPr>
        <w:t xml:space="preserve">Level 3 — Sub-subcategory (e.g., Drills)</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Category structure must be agreed and locked before data entry begins. Reorganizing categories after stock and transactions exist is disruptive and time-consuming.</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2.2 Product &amp; Variant Management</w:t>
      </w:r>
    </w:p>
    <w:p>
      <w:pPr>
        <w:spacing w:before="60" w:after="80"/>
      </w:pPr>
      <w:r>
        <w:rPr>
          <w:rFonts w:ascii="Arial" w:cs="Arial" w:eastAsia="Arial" w:hAnsi="Arial"/>
          <w:color w:val="2C2C2C"/>
          <w:sz w:val="22"/>
          <w:szCs w:val="22"/>
        </w:rPr>
        <w:t xml:space="preserve">Each product has a base record and one or more variants. Every variant is a distinct, independently tracked stock item.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It Lives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 Category, Brand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Base 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Shared across all variants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HSN Code, GST %</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Base Product</w:t>
            </w:r>
          </w:p>
        </w:tc>
        <w:tc>
          <w:tcPr>
            <w:tcW w:type="dxa" w:w="3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Applies to all variants unless overridden at variant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Unit of Measure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Base 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Nos, Kg, Metre, Set, Box, etc.</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SKU Code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Variant</w:t>
            </w:r>
          </w:p>
        </w:tc>
        <w:tc>
          <w:tcPr>
            <w:tcW w:type="dxa" w:w="3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Unique identifier per variant — used for search and billing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Specification / Attributes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Variant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e.g., 500W / 750W / 1000W, size, capacity, model</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Purchase Price, Selling Price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Variant</w:t>
            </w:r>
          </w:p>
        </w:tc>
        <w:tc>
          <w:tcPr>
            <w:tcW w:type="dxa" w:w="3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Can differ per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Opening Stock, Min Stock 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Variant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Tracked separately per variant</w:t>
            </w:r>
          </w:p>
        </w:tc>
      </w:tr>
    </w:tbl>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Specification / attribute format needs agreement — free text, dropdown list, or structured key-value pairs? Inconsistent specs will make searching and filtering unreliable at scale.</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Multiple selling price tiers are not mentioned — some businesses maintain a retail price, a dealer price, and a contractor price for the same item. Confirm if this is needed.</w:t>
      </w:r>
    </w:p>
    <w:p>
      <w:pPr>
        <w:pStyle w:val="Heading1"/>
        <w:pBdr>
          <w:bottom w:val="single" w:color="2E75B6" w:sz="8" w:space="4"/>
        </w:pBdr>
        <w:spacing w:before="400" w:after="160"/>
      </w:pPr>
      <w:r>
        <w:rPr>
          <w:rFonts w:ascii="Arial" w:cs="Arial" w:eastAsia="Arial" w:hAnsi="Arial"/>
          <w:b/>
          <w:bCs/>
          <w:color w:val="1F4E79"/>
          <w:sz w:val="32"/>
          <w:szCs w:val="32"/>
        </w:rPr>
        <w:t xml:space="preserve">3. Outlets &amp; Warehouses</w:t>
      </w:r>
    </w:p>
    <w:p>
      <w:pPr>
        <w:spacing w:before="60" w:after="80"/>
      </w:pPr>
      <w:r>
        <w:rPr>
          <w:rFonts w:ascii="Arial" w:cs="Arial" w:eastAsia="Arial" w:hAnsi="Arial"/>
          <w:color w:val="2C2C2C"/>
          <w:sz w:val="22"/>
          <w:szCs w:val="22"/>
        </w:rPr>
        <w:t xml:space="preserve">The system supports multiple outlets (sales locations) and multiple warehouses (storage locations). Each outlet is linked to one or more warehouses that supply its stock. This structure allows one business to manage several shops or counters independently while maintaining visibility across all locations from a single account.</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3.1 Location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 Type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Outlet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point of sale — where invoices are raised and customers are served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 Shop, Branch Counter, Showroom</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Warehouse</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 storage location — where stock is received, stored, and dispatched from</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Main Godown, Rear Warehouse, Transit Store</w:t>
            </w:r>
          </w:p>
        </w:tc>
      </w:tr>
    </w:tbl>
    <w:p>
      <w:pPr>
        <w:spacing w:before="80" w:after="0"/>
      </w:pPr>
      <w:r>
        <w:t xml:space="preserve"/>
      </w:r>
    </w:p>
    <w:p>
      <w:pPr>
        <w:pStyle w:val="ListParagraph"/>
        <w:numPr>
          <w:ilvl w:val="0"/>
          <w:numId w:val="2"/>
        </w:numPr>
        <w:spacing w:before="40" w:after="40"/>
      </w:pPr>
      <w:r>
        <w:rPr>
          <w:rFonts w:ascii="Arial" w:cs="Arial" w:eastAsia="Arial" w:hAnsi="Arial"/>
          <w:color w:val="2C2C2C"/>
          <w:sz w:val="22"/>
          <w:szCs w:val="22"/>
        </w:rPr>
        <w:t xml:space="preserve">One user account can have multiple outlets and multiple warehouses</w:t>
      </w:r>
    </w:p>
    <w:p>
      <w:pPr>
        <w:pStyle w:val="ListParagraph"/>
        <w:numPr>
          <w:ilvl w:val="0"/>
          <w:numId w:val="2"/>
        </w:numPr>
        <w:spacing w:before="40" w:after="40"/>
      </w:pPr>
      <w:r>
        <w:rPr>
          <w:rFonts w:ascii="Arial" w:cs="Arial" w:eastAsia="Arial" w:hAnsi="Arial"/>
          <w:color w:val="2C2C2C"/>
          <w:sz w:val="22"/>
          <w:szCs w:val="22"/>
        </w:rPr>
        <w:t xml:space="preserve">Each outlet is associated with one or more warehouses for stock fulfillment</w:t>
      </w:r>
    </w:p>
    <w:p>
      <w:pPr>
        <w:pStyle w:val="ListParagraph"/>
        <w:numPr>
          <w:ilvl w:val="0"/>
          <w:numId w:val="2"/>
        </w:numPr>
        <w:spacing w:before="40" w:after="40"/>
      </w:pPr>
      <w:r>
        <w:rPr>
          <w:rFonts w:ascii="Arial" w:cs="Arial" w:eastAsia="Arial" w:hAnsi="Arial"/>
          <w:color w:val="2C2C2C"/>
          <w:sz w:val="22"/>
          <w:szCs w:val="22"/>
        </w:rPr>
        <w:t xml:space="preserve">Stock is tracked separately at each warehouse — not pooled across locations</w:t>
      </w:r>
    </w:p>
    <w:p>
      <w:pPr>
        <w:pStyle w:val="ListParagraph"/>
        <w:numPr>
          <w:ilvl w:val="0"/>
          <w:numId w:val="2"/>
        </w:numPr>
        <w:spacing w:before="40" w:after="40"/>
      </w:pPr>
      <w:r>
        <w:rPr>
          <w:rFonts w:ascii="Arial" w:cs="Arial" w:eastAsia="Arial" w:hAnsi="Arial"/>
          <w:color w:val="2C2C2C"/>
          <w:sz w:val="22"/>
          <w:szCs w:val="22"/>
        </w:rPr>
        <w:t xml:space="preserve">A sales invoice from an outlet pulls stock from that outlet's linked warehouse</w:t>
      </w:r>
    </w:p>
    <w:p>
      <w:pPr>
        <w:pStyle w:val="ListParagraph"/>
        <w:numPr>
          <w:ilvl w:val="0"/>
          <w:numId w:val="2"/>
        </w:numPr>
        <w:spacing w:before="40" w:after="40"/>
      </w:pPr>
      <w:r>
        <w:rPr>
          <w:rFonts w:ascii="Arial" w:cs="Arial" w:eastAsia="Arial" w:hAnsi="Arial"/>
          <w:color w:val="2C2C2C"/>
          <w:sz w:val="22"/>
          <w:szCs w:val="22"/>
        </w:rPr>
        <w:t xml:space="preserve">Purchases (GRN) are received into a specific warehouse, not just the company generally</w:t>
      </w:r>
    </w:p>
    <w:p>
      <w:pPr>
        <w:spacing w:before="80" w:after="0"/>
      </w:pPr>
      <w:r>
        <w:t xml:space="preserve"/>
      </w:r>
    </w:p>
    <w:p>
      <w:pPr>
        <w:pBdr>
          <w:top w:val="single" w:color="FFC107" w:sz="4"/>
          <w:left w:val="single" w:color="FFC107" w:sz="18"/>
          <w:bottom w:val="single" w:color="FFC107" w:sz="4"/>
          <w:right w:val="single" w:color="FFC107" w:sz="4"/>
        </w:pBdr>
        <w:shd w:fill="FFF3CD" w:val="clear"/>
        <w:spacing w:before="160" w:after="160"/>
        <w:ind w:left="180" w:right="180"/>
      </w:pPr>
      <w:r>
        <w:rPr>
          <w:rFonts w:ascii="Arial" w:cs="Arial" w:eastAsia="Arial" w:hAnsi="Arial"/>
          <w:b/>
          <w:bCs/>
          <w:color w:val="7B5800"/>
          <w:sz w:val="22"/>
          <w:szCs w:val="22"/>
        </w:rPr>
        <w:t xml:space="preserve">⚠ Stock levels shown to a sales user must reflect the warehouse linked to their outlet — not the total across all warehouses. Showing incorrect stock will cause overselling.</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3.2 Stock Transfer Between Locations</w:t>
      </w:r>
    </w:p>
    <w:p>
      <w:pPr>
        <w:spacing w:before="60" w:after="80"/>
      </w:pPr>
      <w:r>
        <w:rPr>
          <w:rFonts w:ascii="Arial" w:cs="Arial" w:eastAsia="Arial" w:hAnsi="Arial"/>
          <w:color w:val="2C2C2C"/>
          <w:sz w:val="22"/>
          <w:szCs w:val="22"/>
        </w:rPr>
        <w:t xml:space="preserve">When goods need to move from one warehouse to another, or from a warehouse to an outlet's assigned store, a stock transfer is raised. This is a formal movement that updates both locations simultaneously.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Transfer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 of physical movement</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From Location</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Source warehouse or outlet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Destination warehouse or outlet store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Items &amp; Quantities</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Line items being transferred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Reference / Reason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Optional note (e.g., 'Replenishment for Branch')</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Authorized By</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User who approved the transfer</w:t>
            </w:r>
          </w:p>
        </w:tc>
      </w:tr>
    </w:tbl>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In-transit stock: if a transfer takes more than one day (e.g., inter-city), there is a window where stock has left the source but not yet arrived at the destination. The system must track this as 'in-transit' and not show it as available at either location until confirmed received.</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3.3 Outlet-Level Rules</w:t>
      </w:r>
    </w:p>
    <w:p>
      <w:pPr>
        <w:pStyle w:val="ListParagraph"/>
        <w:numPr>
          <w:ilvl w:val="0"/>
          <w:numId w:val="2"/>
        </w:numPr>
        <w:spacing w:before="40" w:after="40"/>
      </w:pPr>
      <w:r>
        <w:rPr>
          <w:rFonts w:ascii="Arial" w:cs="Arial" w:eastAsia="Arial" w:hAnsi="Arial"/>
          <w:color w:val="2C2C2C"/>
          <w:sz w:val="22"/>
          <w:szCs w:val="22"/>
        </w:rPr>
        <w:t xml:space="preserve">Each outlet has its own invoice number series (configurable prefix per outlet)</w:t>
      </w:r>
    </w:p>
    <w:p>
      <w:pPr>
        <w:pStyle w:val="ListParagraph"/>
        <w:numPr>
          <w:ilvl w:val="0"/>
          <w:numId w:val="2"/>
        </w:numPr>
        <w:spacing w:before="40" w:after="40"/>
      </w:pPr>
      <w:r>
        <w:rPr>
          <w:rFonts w:ascii="Arial" w:cs="Arial" w:eastAsia="Arial" w:hAnsi="Arial"/>
          <w:color w:val="2C2C2C"/>
          <w:sz w:val="22"/>
          <w:szCs w:val="22"/>
        </w:rPr>
        <w:t xml:space="preserve">Each outlet can have its own GST registration if separately registered — or share the parent GSTIN</w:t>
      </w:r>
    </w:p>
    <w:p>
      <w:pPr>
        <w:pStyle w:val="ListParagraph"/>
        <w:numPr>
          <w:ilvl w:val="0"/>
          <w:numId w:val="2"/>
        </w:numPr>
        <w:spacing w:before="40" w:after="40"/>
      </w:pPr>
      <w:r>
        <w:rPr>
          <w:rFonts w:ascii="Arial" w:cs="Arial" w:eastAsia="Arial" w:hAnsi="Arial"/>
          <w:color w:val="2C2C2C"/>
          <w:sz w:val="22"/>
          <w:szCs w:val="22"/>
        </w:rPr>
        <w:t xml:space="preserve">Sales reports, stock reports, and GST summaries can be filtered by outlet or viewed consolidated</w:t>
      </w:r>
    </w:p>
    <w:p>
      <w:pPr>
        <w:pStyle w:val="ListParagraph"/>
        <w:numPr>
          <w:ilvl w:val="0"/>
          <w:numId w:val="2"/>
        </w:numPr>
        <w:spacing w:before="40" w:after="40"/>
      </w:pPr>
      <w:r>
        <w:rPr>
          <w:rFonts w:ascii="Arial" w:cs="Arial" w:eastAsia="Arial" w:hAnsi="Arial"/>
          <w:color w:val="2C2C2C"/>
          <w:sz w:val="22"/>
          <w:szCs w:val="22"/>
        </w:rPr>
        <w:t xml:space="preserve">Users are assigned to one or more outlets — they can only raise invoices for their assigned outlets</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If outlets are separately GST-registered, each outlet is effectively a different 'place of supply' and GSTIN. This affects invoice format and GST filing. Must be confirmed before setup.</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Cash and bank accounts: does each outlet have its own cash drawer or bank account? If yes, accounting must track receipts per outlet.</w:t>
      </w:r>
    </w:p>
    <w:p>
      <w:pPr>
        <w:pStyle w:val="Heading1"/>
        <w:pBdr>
          <w:bottom w:val="single" w:color="2E75B6" w:sz="8" w:space="4"/>
        </w:pBdr>
        <w:spacing w:before="400" w:after="160"/>
      </w:pPr>
      <w:r>
        <w:rPr>
          <w:rFonts w:ascii="Arial" w:cs="Arial" w:eastAsia="Arial" w:hAnsi="Arial"/>
          <w:b/>
          <w:bCs/>
          <w:color w:val="1F4E79"/>
          <w:sz w:val="32"/>
          <w:szCs w:val="32"/>
        </w:rPr>
        <w:t xml:space="preserve">4. Inventory Management</w:t>
      </w:r>
    </w:p>
    <w:p>
      <w:pPr>
        <w:pStyle w:val="Heading2"/>
        <w:spacing w:before="280" w:after="120"/>
      </w:pPr>
      <w:r>
        <w:rPr>
          <w:rFonts w:ascii="Arial" w:cs="Arial" w:eastAsia="Arial" w:hAnsi="Arial"/>
          <w:b/>
          <w:bCs/>
          <w:color w:val="2E75B6"/>
          <w:sz w:val="26"/>
          <w:szCs w:val="26"/>
        </w:rPr>
        <w:t xml:space="preserve">3.1 Stock Tracking</w:t>
      </w:r>
    </w:p>
    <w:p>
      <w:pPr>
        <w:spacing w:before="60" w:after="80"/>
      </w:pPr>
      <w:r>
        <w:rPr>
          <w:rFonts w:ascii="Arial" w:cs="Arial" w:eastAsia="Arial" w:hAnsi="Arial"/>
          <w:color w:val="2C2C2C"/>
          <w:sz w:val="22"/>
          <w:szCs w:val="22"/>
        </w:rPr>
        <w:t xml:space="preserve">Every product variant has its own stock count, tracked independently per outlet and warehouse. The system tracks:</w:t>
      </w:r>
    </w:p>
    <w:p>
      <w:pPr>
        <w:pStyle w:val="ListParagraph"/>
        <w:numPr>
          <w:ilvl w:val="0"/>
          <w:numId w:val="2"/>
        </w:numPr>
        <w:spacing w:before="40" w:after="40"/>
      </w:pPr>
      <w:r>
        <w:rPr>
          <w:rFonts w:ascii="Arial" w:cs="Arial" w:eastAsia="Arial" w:hAnsi="Arial"/>
          <w:color w:val="2C2C2C"/>
          <w:sz w:val="22"/>
          <w:szCs w:val="22"/>
        </w:rPr>
        <w:t xml:space="preserve">Stock on hand per variant, per location</w:t>
      </w:r>
    </w:p>
    <w:p>
      <w:pPr>
        <w:pStyle w:val="ListParagraph"/>
        <w:numPr>
          <w:ilvl w:val="0"/>
          <w:numId w:val="2"/>
        </w:numPr>
        <w:spacing w:before="40" w:after="40"/>
      </w:pPr>
      <w:r>
        <w:rPr>
          <w:rFonts w:ascii="Arial" w:cs="Arial" w:eastAsia="Arial" w:hAnsi="Arial"/>
          <w:color w:val="2C2C2C"/>
          <w:sz w:val="22"/>
          <w:szCs w:val="22"/>
        </w:rPr>
        <w:t xml:space="preserve">All inward and outward movements with date, reference, reason, and location</w:t>
      </w:r>
    </w:p>
    <w:p>
      <w:pPr>
        <w:pStyle w:val="ListParagraph"/>
        <w:numPr>
          <w:ilvl w:val="0"/>
          <w:numId w:val="2"/>
        </w:numPr>
        <w:spacing w:before="40" w:after="40"/>
      </w:pPr>
      <w:r>
        <w:rPr>
          <w:rFonts w:ascii="Arial" w:cs="Arial" w:eastAsia="Arial" w:hAnsi="Arial"/>
          <w:color w:val="2C2C2C"/>
          <w:sz w:val="22"/>
          <w:szCs w:val="22"/>
        </w:rPr>
        <w:t xml:space="preserve">Running stock ledger per item per location</w:t>
      </w:r>
    </w:p>
    <w:p>
      <w:pPr>
        <w:spacing w:before="80" w:after="0"/>
      </w:pPr>
      <w:r>
        <w:t xml:space="preserve"/>
      </w:r>
    </w:p>
    <w:p>
      <w:pPr>
        <w:spacing w:before="60" w:after="80"/>
      </w:pPr>
      <w:r>
        <w:rPr>
          <w:rFonts w:ascii="Arial" w:cs="Arial" w:eastAsia="Arial" w:hAnsi="Arial"/>
          <w:color w:val="2C2C2C"/>
          <w:sz w:val="22"/>
          <w:szCs w:val="22"/>
        </w:rPr>
        <w:t xml:space="preserve">Stock movement types to be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Movement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Purchase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Purchase bill / goods receipt at a warehouse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Sales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Out</w:t>
            </w:r>
          </w:p>
        </w:tc>
        <w:tc>
          <w:tcPr>
            <w:tcW w:type="dxa" w:w="4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Sales invoice from an outlet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Purchase Return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Return to vendor</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Sales Return</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In</w:t>
            </w:r>
          </w:p>
        </w:tc>
        <w:tc>
          <w:tcPr>
            <w:tcW w:type="dxa" w:w="4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Customer return to outlet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Stock Transfer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Out / 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Transfer between outlets or warehouses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Stock Adjustment</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In / Out</w:t>
            </w:r>
          </w:p>
        </w:tc>
        <w:tc>
          <w:tcPr>
            <w:tcW w:type="dxa" w:w="4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Manual correction by authorized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Damaged / Write-Off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Authorized write-off entry with reason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Opening Stock</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In</w:t>
            </w:r>
          </w:p>
        </w:tc>
        <w:tc>
          <w:tcPr>
            <w:tcW w:type="dxa" w:w="4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One-time setup at system go-live per location</w:t>
            </w:r>
          </w:p>
        </w:tc>
      </w:tr>
    </w:tbl>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Negative stock behavior must be confirmed: should the system block a sale if stock hits zero at that outlet, or warn and allow? Policy must be set per outlet or globally.</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3.2 Inventory Valuation</w:t>
      </w:r>
    </w:p>
    <w:p>
      <w:pPr>
        <w:pBdr>
          <w:top w:val="single" w:color="FFC107" w:sz="4"/>
          <w:left w:val="single" w:color="FFC107" w:sz="18"/>
          <w:bottom w:val="single" w:color="FFC107" w:sz="4"/>
          <w:right w:val="single" w:color="FFC107" w:sz="4"/>
        </w:pBdr>
        <w:shd w:fill="FFF3CD" w:val="clear"/>
        <w:spacing w:before="160" w:after="160"/>
        <w:ind w:left="180" w:right="180"/>
      </w:pPr>
      <w:r>
        <w:rPr>
          <w:rFonts w:ascii="Arial" w:cs="Arial" w:eastAsia="Arial" w:hAnsi="Arial"/>
          <w:b/>
          <w:bCs/>
          <w:color w:val="7B5800"/>
          <w:sz w:val="22"/>
          <w:szCs w:val="22"/>
        </w:rPr>
        <w:t xml:space="preserve">⚠ Valuation method must be decided before the system is built. Moving Average Cost is recommended for this business type — it is simpler to manage and suits Indian SME accounting practices.</w:t>
      </w:r>
    </w:p>
    <w:p>
      <w:pPr>
        <w:spacing w:before="80" w:after="0"/>
      </w:pPr>
      <w:r>
        <w:t xml:space="preserve"/>
      </w:r>
    </w:p>
    <w:p>
      <w:pPr>
        <w:spacing w:before="60" w:after="80"/>
      </w:pPr>
      <w:r>
        <w:rPr>
          <w:rFonts w:ascii="Arial" w:cs="Arial" w:eastAsia="Arial" w:hAnsi="Arial"/>
          <w:color w:val="2C2C2C"/>
          <w:sz w:val="22"/>
          <w:szCs w:val="22"/>
        </w:rPr>
        <w:t xml:space="preserve">Moving Average Cost (recommended): each time stock is purchased, the average cost per unit is recalculated. Simple, accurate, and widely accepted.</w:t>
      </w:r>
    </w:p>
    <w:p>
      <w:pPr>
        <w:spacing w:before="60" w:after="80"/>
      </w:pPr>
      <w:r>
        <w:rPr>
          <w:rFonts w:ascii="Arial" w:cs="Arial" w:eastAsia="Arial" w:hAnsi="Arial"/>
          <w:color w:val="2C2C2C"/>
          <w:sz w:val="22"/>
          <w:szCs w:val="22"/>
        </w:rPr>
        <w:t xml:space="preserve">FIFO: stock is valued using the oldest purchase price first. More precise but adds complexity in reporting and reconciliation.</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3.3 Unit of Measure &amp; Conversion</w:t>
      </w:r>
    </w:p>
    <w:p>
      <w:pPr>
        <w:spacing w:before="60" w:after="80"/>
      </w:pPr>
      <w:r>
        <w:rPr>
          <w:rFonts w:ascii="Arial" w:cs="Arial" w:eastAsia="Arial" w:hAnsi="Arial"/>
          <w:color w:val="2C2C2C"/>
          <w:sz w:val="22"/>
          <w:szCs w:val="22"/>
        </w:rPr>
        <w:t xml:space="preserve">The system supports multiple units of measure for the same product with defined conversion rules. This allows products to be purchased in bulk units (e.g., boxes or cartons) and sold in smaller units (e.g., pieces). Stock is always stored and reported in the Base Unit.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Base Unit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smallest unit used for internal stock tracking (e.g., Piece)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Purchase Unit</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Unit used when raising a purchase order or bill (e.g., Box)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Sales Unit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Unit used when creating a sales invoice (e.g., Piece)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Conversion Ratio</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Number of base units per purchase unit (e.g., 1 Box = 10 Pieces)</w:t>
            </w:r>
          </w:p>
        </w:tc>
      </w:tr>
    </w:tbl>
    <w:p>
      <w:pPr>
        <w:spacing w:before="80" w:after="0"/>
      </w:pPr>
      <w:r>
        <w:t xml:space="preserve"/>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Example — Drill Bit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Base Unit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Piece</w:t>
            </w:r>
          </w:p>
        </w:tc>
      </w:tr>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Purchase Unit</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Box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Sales Unit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Piece</w:t>
            </w:r>
          </w:p>
        </w:tc>
      </w:tr>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Conversion Ratio</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 Box = 10 Pieces</w:t>
            </w:r>
          </w:p>
        </w:tc>
      </w:tr>
    </w:tbl>
    <w:p>
      <w:pPr>
        <w:spacing w:before="80" w:after="0"/>
      </w:pPr>
      <w:r>
        <w:t xml:space="preserve"/>
      </w:r>
    </w:p>
    <w:p>
      <w:pPr>
        <w:spacing w:before="60" w:after="80"/>
      </w:pPr>
      <w:r>
        <w:rPr>
          <w:rFonts w:ascii="Arial" w:cs="Arial" w:eastAsia="Arial" w:hAnsi="Arial"/>
          <w:color w:val="2C2C2C"/>
          <w:sz w:val="22"/>
          <w:szCs w:val="22"/>
        </w:rPr>
        <w:t xml:space="preserve">Purchase behaviour: if the user enters 5 Boxes on a purchase bill, the system automatically converts and records 50 Pieces in inventory. The invoice shows Boxes; stock is stored as Pieces.</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If a product can also be sold by the box (not just piece), the sales unit and conversion must handle both — confirm whether selling in the purchase unit is required for any product.</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3.4 Stock Reports</w:t>
      </w:r>
    </w:p>
    <w:p>
      <w:pPr>
        <w:pStyle w:val="ListParagraph"/>
        <w:numPr>
          <w:ilvl w:val="0"/>
          <w:numId w:val="2"/>
        </w:numPr>
        <w:spacing w:before="40" w:after="40"/>
      </w:pPr>
      <w:r>
        <w:rPr>
          <w:rFonts w:ascii="Arial" w:cs="Arial" w:eastAsia="Arial" w:hAnsi="Arial"/>
          <w:color w:val="2C2C2C"/>
          <w:sz w:val="22"/>
          <w:szCs w:val="22"/>
        </w:rPr>
        <w:t xml:space="preserve">Current Stock Report — quantity on hand per variant, per location</w:t>
      </w:r>
    </w:p>
    <w:p>
      <w:pPr>
        <w:pStyle w:val="ListParagraph"/>
        <w:numPr>
          <w:ilvl w:val="0"/>
          <w:numId w:val="2"/>
        </w:numPr>
        <w:spacing w:before="40" w:after="40"/>
      </w:pPr>
      <w:r>
        <w:rPr>
          <w:rFonts w:ascii="Arial" w:cs="Arial" w:eastAsia="Arial" w:hAnsi="Arial"/>
          <w:color w:val="2C2C2C"/>
          <w:sz w:val="22"/>
          <w:szCs w:val="22"/>
        </w:rPr>
        <w:t xml:space="preserve">Category-wise Stock — grouped summary</w:t>
      </w:r>
    </w:p>
    <w:p>
      <w:pPr>
        <w:pStyle w:val="ListParagraph"/>
        <w:numPr>
          <w:ilvl w:val="0"/>
          <w:numId w:val="2"/>
        </w:numPr>
        <w:spacing w:before="40" w:after="40"/>
      </w:pPr>
      <w:r>
        <w:rPr>
          <w:rFonts w:ascii="Arial" w:cs="Arial" w:eastAsia="Arial" w:hAnsi="Arial"/>
          <w:color w:val="2C2C2C"/>
          <w:sz w:val="22"/>
          <w:szCs w:val="22"/>
        </w:rPr>
        <w:t xml:space="preserve">Low Stock Report — items below minimum stock level</w:t>
      </w:r>
    </w:p>
    <w:p>
      <w:pPr>
        <w:pStyle w:val="ListParagraph"/>
        <w:numPr>
          <w:ilvl w:val="0"/>
          <w:numId w:val="2"/>
        </w:numPr>
        <w:spacing w:before="40" w:after="40"/>
      </w:pPr>
      <w:r>
        <w:rPr>
          <w:rFonts w:ascii="Arial" w:cs="Arial" w:eastAsia="Arial" w:hAnsi="Arial"/>
          <w:color w:val="2C2C2C"/>
          <w:sz w:val="22"/>
          <w:szCs w:val="22"/>
        </w:rPr>
        <w:t xml:space="preserve">Stock Ledger — full movement history per item per location</w:t>
      </w:r>
    </w:p>
    <w:p>
      <w:pPr>
        <w:pStyle w:val="ListParagraph"/>
        <w:numPr>
          <w:ilvl w:val="0"/>
          <w:numId w:val="2"/>
        </w:numPr>
        <w:spacing w:before="40" w:after="40"/>
      </w:pPr>
      <w:r>
        <w:rPr>
          <w:rFonts w:ascii="Arial" w:cs="Arial" w:eastAsia="Arial" w:hAnsi="Arial"/>
          <w:color w:val="2C2C2C"/>
          <w:sz w:val="22"/>
          <w:szCs w:val="22"/>
        </w:rPr>
        <w:t xml:space="preserve">Stock Valuation Report — total inventory value</w:t>
      </w:r>
    </w:p>
    <w:p>
      <w:pPr>
        <w:pStyle w:val="ListParagraph"/>
        <w:numPr>
          <w:ilvl w:val="0"/>
          <w:numId w:val="2"/>
        </w:numPr>
        <w:spacing w:before="40" w:after="40"/>
      </w:pPr>
      <w:r>
        <w:rPr>
          <w:rFonts w:ascii="Arial" w:cs="Arial" w:eastAsia="Arial" w:hAnsi="Arial"/>
          <w:color w:val="2C2C2C"/>
          <w:sz w:val="22"/>
          <w:szCs w:val="22"/>
        </w:rPr>
        <w:t xml:space="preserve">Stock Transfer Report — all inter-location transfers in a period</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Slow-moving stock report is missing — useful for identifying items that haven't moved in 30/60/90 days. Important for managing working capital and avoiding dead stock.</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Stock ageing report is missing — how long has each lot been sitting? Useful for products with a shelf life or for prioritising older stock in sales.</w:t>
      </w:r>
    </w:p>
    <w:p>
      <w:pPr>
        <w:pStyle w:val="Heading1"/>
        <w:pBdr>
          <w:bottom w:val="single" w:color="2E75B6" w:sz="8" w:space="4"/>
        </w:pBdr>
        <w:spacing w:before="400" w:after="160"/>
      </w:pPr>
      <w:r>
        <w:rPr>
          <w:rFonts w:ascii="Arial" w:cs="Arial" w:eastAsia="Arial" w:hAnsi="Arial"/>
          <w:b/>
          <w:bCs/>
          <w:color w:val="1F4E79"/>
          <w:sz w:val="32"/>
          <w:szCs w:val="32"/>
        </w:rPr>
        <w:t xml:space="preserve">5. Purchase Management</w:t>
      </w:r>
    </w:p>
    <w:p>
      <w:pPr>
        <w:pStyle w:val="Heading2"/>
        <w:spacing w:before="280" w:after="120"/>
      </w:pPr>
      <w:r>
        <w:rPr>
          <w:rFonts w:ascii="Arial" w:cs="Arial" w:eastAsia="Arial" w:hAnsi="Arial"/>
          <w:b/>
          <w:bCs/>
          <w:color w:val="2E75B6"/>
          <w:sz w:val="26"/>
          <w:szCs w:val="26"/>
        </w:rPr>
        <w:t xml:space="preserve">4.1 Vendor Master</w:t>
      </w:r>
    </w:p>
    <w:p>
      <w:pPr>
        <w:spacing w:before="60" w:after="80"/>
      </w:pPr>
      <w:r>
        <w:rPr>
          <w:rFonts w:ascii="Arial" w:cs="Arial" w:eastAsia="Arial" w:hAnsi="Arial"/>
          <w:color w:val="2C2C2C"/>
          <w:sz w:val="22"/>
          <w:szCs w:val="22"/>
        </w:rPr>
        <w:t xml:space="preserve">Each vendor has a profile record that links to their account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Vendor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GSTIN</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Yes (if registered)</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Validated format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Address &amp; State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State needed for GST calculation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Contact Info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Phone, email</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Credit Period</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Days allowed before payment is due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Opening 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Balance owed at system go-live</w:t>
            </w:r>
          </w:p>
        </w:tc>
      </w:tr>
    </w:tbl>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Vendor category / type is missing — distinguishing by product type supplied or by local vs. national vendors helps with reporting and negotiations.</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Vendor performance tracking is absent — no way to record which vendor supplied defective goods or missed delivery dates.</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4.2 Purchase Workflow</w:t>
      </w:r>
    </w:p>
    <w:p>
      <w:pPr>
        <w:spacing w:before="60" w:after="80"/>
      </w:pPr>
      <w:r>
        <w:rPr>
          <w:rFonts w:ascii="Arial" w:cs="Arial" w:eastAsia="Arial" w:hAnsi="Arial"/>
          <w:color w:val="2C2C2C"/>
          <w:sz w:val="22"/>
          <w:szCs w:val="22"/>
        </w:rPr>
        <w:t xml:space="preserve">The complete purchase process follows four stages. Each stage is a distinct action in the system, and they must flow in order. Skipping stages is not permitted without authorization.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Purchase Order (PO)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Buyer sends a formal order to the vendor listing items, quantities, and agreed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 created — no stock or accounting impact yet</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2. Goods Receipt Note (GRN)</w:t>
            </w:r>
          </w:p>
        </w:tc>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Physical goods arrive; staff records actual quantities received against the PO</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Stock is updated at the receiving warehouse. Discrepancies vs. PO are flagged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 Purchase Bill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Vendor invoice is matched against the GRN and recorded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Vendor ledger debited, input GST recorded, accounts updated</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4. Vendor Payment</w:t>
            </w:r>
          </w:p>
        </w:tc>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Payment is made to settle the bill</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Bank/cash reduced, vendor ledger credited, outstanding cleared</w:t>
            </w:r>
          </w:p>
        </w:tc>
      </w:tr>
    </w:tbl>
    <w:p>
      <w:pPr>
        <w:spacing w:before="80" w:after="0"/>
      </w:pPr>
      <w:r>
        <w:t xml:space="preserve"/>
      </w:r>
    </w:p>
    <w:p>
      <w:pPr>
        <w:pBdr>
          <w:top w:val="single" w:color="FFC107" w:sz="4"/>
          <w:left w:val="single" w:color="FFC107" w:sz="18"/>
          <w:bottom w:val="single" w:color="FFC107" w:sz="4"/>
          <w:right w:val="single" w:color="FFC107" w:sz="4"/>
        </w:pBdr>
        <w:shd w:fill="FFF3CD" w:val="clear"/>
        <w:spacing w:before="160" w:after="160"/>
        <w:ind w:left="180" w:right="180"/>
      </w:pPr>
      <w:r>
        <w:rPr>
          <w:rFonts w:ascii="Arial" w:cs="Arial" w:eastAsia="Arial" w:hAnsi="Arial"/>
          <w:b/>
          <w:bCs/>
          <w:color w:val="7B5800"/>
          <w:sz w:val="22"/>
          <w:szCs w:val="22"/>
        </w:rPr>
        <w:t xml:space="preserve">⚠ Goods must not be added to sellable stock until a GRN is completed. Similarly, a purchase bill must not be posted without a matching GRN. This prevents phantom stock and unmatched liabilities.</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Partial GRN must be supported — vendor may deliver 60 of 100 ordered units. The remaining 40 stays as open PO until the next delivery or until the PO is closed.</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Purchase return (debit note) workflow needs its own entry screen — linking back to the original bill, updating stock, reversing GST, and notifying the vendor ledger.</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Advance payments to vendors must be handled — if an advance is paid before the bill arrives, it must be recorded and automatically adjusted when the bill is posted.</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4.3 Freight &amp; Landed Cost</w:t>
      </w:r>
    </w:p>
    <w:p>
      <w:pPr>
        <w:spacing w:before="60" w:after="80"/>
      </w:pPr>
      <w:r>
        <w:rPr>
          <w:rFonts w:ascii="Arial" w:cs="Arial" w:eastAsia="Arial" w:hAnsi="Arial"/>
          <w:color w:val="2C2C2C"/>
          <w:sz w:val="22"/>
          <w:szCs w:val="22"/>
        </w:rPr>
        <w:t xml:space="preserve">Hardware and industrial equipment often carries significant freight costs. These costs affect the true cost of goods and must be optionally added to purchase bills.</w:t>
      </w:r>
    </w:p>
    <w:p>
      <w:pPr>
        <w:spacing w:before="80" w:after="0"/>
      </w:pPr>
      <w:r>
        <w:t xml:space="preserve"/>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How It Works</w:t>
      </w:r>
    </w:p>
    <w:p>
      <w:pPr>
        <w:pStyle w:val="ListParagraph"/>
        <w:numPr>
          <w:ilvl w:val="0"/>
          <w:numId w:val="2"/>
        </w:numPr>
        <w:spacing w:before="40" w:after="40"/>
      </w:pPr>
      <w:r>
        <w:rPr>
          <w:rFonts w:ascii="Arial" w:cs="Arial" w:eastAsia="Arial" w:hAnsi="Arial"/>
          <w:color w:val="2C2C2C"/>
          <w:sz w:val="22"/>
          <w:szCs w:val="22"/>
        </w:rPr>
        <w:t xml:space="preserve">On any purchase bill, the user can optionally add freight charges and other incidental costs (e.g., loading, insurance)</w:t>
      </w:r>
    </w:p>
    <w:p>
      <w:pPr>
        <w:pStyle w:val="ListParagraph"/>
        <w:numPr>
          <w:ilvl w:val="0"/>
          <w:numId w:val="2"/>
        </w:numPr>
        <w:spacing w:before="40" w:after="40"/>
      </w:pPr>
      <w:r>
        <w:rPr>
          <w:rFonts w:ascii="Arial" w:cs="Arial" w:eastAsia="Arial" w:hAnsi="Arial"/>
          <w:color w:val="2C2C2C"/>
          <w:sz w:val="22"/>
          <w:szCs w:val="22"/>
        </w:rPr>
        <w:t xml:space="preserve">Freight can be entered as a fixed amount or as a percentage of the bill value</w:t>
      </w:r>
    </w:p>
    <w:p>
      <w:pPr>
        <w:pStyle w:val="ListParagraph"/>
        <w:numPr>
          <w:ilvl w:val="0"/>
          <w:numId w:val="2"/>
        </w:numPr>
        <w:spacing w:before="40" w:after="40"/>
      </w:pPr>
      <w:r>
        <w:rPr>
          <w:rFonts w:ascii="Arial" w:cs="Arial" w:eastAsia="Arial" w:hAnsi="Arial"/>
          <w:color w:val="2C2C2C"/>
          <w:sz w:val="22"/>
          <w:szCs w:val="22"/>
        </w:rPr>
        <w:t xml:space="preserve">The system distributes the freight cost across line items proportionally (by value or by quantity — configurable)</w:t>
      </w:r>
    </w:p>
    <w:p>
      <w:pPr>
        <w:pStyle w:val="ListParagraph"/>
        <w:numPr>
          <w:ilvl w:val="0"/>
          <w:numId w:val="2"/>
        </w:numPr>
        <w:spacing w:before="40" w:after="40"/>
      </w:pPr>
      <w:r>
        <w:rPr>
          <w:rFonts w:ascii="Arial" w:cs="Arial" w:eastAsia="Arial" w:hAnsi="Arial"/>
          <w:color w:val="2C2C2C"/>
          <w:sz w:val="22"/>
          <w:szCs w:val="22"/>
        </w:rPr>
        <w:t xml:space="preserve">The distributed freight is added to each item's landed cost, which then feeds into the moving average cost calculation</w:t>
      </w:r>
    </w:p>
    <w:p>
      <w:pPr>
        <w:spacing w:before="80" w:after="0"/>
      </w:pPr>
      <w:r>
        <w:t xml:space="preserve"/>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System Setting</w:t>
      </w:r>
    </w:p>
    <w:p>
      <w:pPr>
        <w:spacing w:before="60" w:after="80"/>
      </w:pPr>
      <w:r>
        <w:rPr>
          <w:rFonts w:ascii="Arial" w:cs="Arial" w:eastAsia="Arial" w:hAnsi="Arial"/>
          <w:color w:val="2C2C2C"/>
          <w:sz w:val="22"/>
          <w:szCs w:val="22"/>
        </w:rPr>
        <w:t xml:space="preserve">Freight and landed cost capture is optional and controlled by a system-wide setting. Businesses that do not track freight can disable this feature entirely to keep the purchase entry simple.</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Whether freight itself attracts GST (transport GST @ 5%) needs to be configurable — some freight is billed with GST, some is not.</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4.4 Pricing Configuration</w:t>
      </w:r>
    </w:p>
    <w:p>
      <w:pPr>
        <w:spacing w:before="60" w:after="80"/>
      </w:pPr>
      <w:r>
        <w:rPr>
          <w:rFonts w:ascii="Arial" w:cs="Arial" w:eastAsia="Arial" w:hAnsi="Arial"/>
          <w:color w:val="2C2C2C"/>
          <w:sz w:val="22"/>
          <w:szCs w:val="22"/>
        </w:rPr>
        <w:t xml:space="preserve">The system shall allow the selling price of each product variant to be set using one of two methods. The method can be chosen per product and changed at any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Used When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Manual Entry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directly types the selling price for each variant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Prices are negotiated, fixed by market, or controlled manually</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Percentage Markup</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Selling price = Purchase price + Markup %. System calculates automatically when a new purchase price is recorded</w:t>
            </w:r>
          </w:p>
        </w:tc>
        <w:tc>
          <w:tcPr>
            <w:tcW w:type="dxa" w:w="3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Prices are consistently derived from cost — e.g., always 20% above purchase price</w:t>
            </w:r>
          </w:p>
        </w:tc>
      </w:tr>
    </w:tbl>
    <w:p>
      <w:pPr>
        <w:spacing w:before="80" w:after="0"/>
      </w:pPr>
      <w:r>
        <w:t xml:space="preserve"/>
      </w:r>
    </w:p>
    <w:p>
      <w:pPr>
        <w:pBdr>
          <w:top w:val="single" w:color="FFC107" w:sz="4"/>
          <w:left w:val="single" w:color="FFC107" w:sz="18"/>
          <w:bottom w:val="single" w:color="FFC107" w:sz="4"/>
          <w:right w:val="single" w:color="FFC107" w:sz="4"/>
        </w:pBdr>
        <w:shd w:fill="FFF3CD" w:val="clear"/>
        <w:spacing w:before="160" w:after="160"/>
        <w:ind w:left="180" w:right="180"/>
      </w:pPr>
      <w:r>
        <w:rPr>
          <w:rFonts w:ascii="Arial" w:cs="Arial" w:eastAsia="Arial" w:hAnsi="Arial"/>
          <w:b/>
          <w:bCs/>
          <w:color w:val="7B5800"/>
          <w:sz w:val="22"/>
          <w:szCs w:val="22"/>
        </w:rPr>
        <w:t xml:space="preserve">⚠ When Percentage Markup is active, a new purchase price entry will automatically recalculate the selling price. Users must be clearly notified before this happens and given the option to review before saving.</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If markup-based pricing is used, the system must handle the case where the purchase price varies across vendors or purchase bills — which price becomes the base for markup? Last purchase price, or moving average?</w:t>
      </w:r>
    </w:p>
    <w:p>
      <w:pPr>
        <w:pStyle w:val="Heading1"/>
        <w:pBdr>
          <w:bottom w:val="single" w:color="2E75B6" w:sz="8" w:space="4"/>
        </w:pBdr>
        <w:spacing w:before="400" w:after="160"/>
      </w:pPr>
      <w:r>
        <w:rPr>
          <w:rFonts w:ascii="Arial" w:cs="Arial" w:eastAsia="Arial" w:hAnsi="Arial"/>
          <w:b/>
          <w:bCs/>
          <w:color w:val="1F4E79"/>
          <w:sz w:val="32"/>
          <w:szCs w:val="32"/>
        </w:rPr>
        <w:t xml:space="preserve">6. Sales &amp; Billing</w:t>
      </w:r>
    </w:p>
    <w:p>
      <w:pPr>
        <w:pStyle w:val="Heading2"/>
        <w:spacing w:before="280" w:after="120"/>
      </w:pPr>
      <w:r>
        <w:rPr>
          <w:rFonts w:ascii="Arial" w:cs="Arial" w:eastAsia="Arial" w:hAnsi="Arial"/>
          <w:b/>
          <w:bCs/>
          <w:color w:val="2E75B6"/>
          <w:sz w:val="26"/>
          <w:szCs w:val="26"/>
        </w:rPr>
        <w:t xml:space="preserve">5.1 Customer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GSTIN</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B2B only</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Not required for B2C walk-in customers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Needed for high-value transactions</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Address &amp; State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State determines GST type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Max outstanding allowed</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Credit Period</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Days before payment is due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Opening 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Amount owed at go-live</w:t>
            </w:r>
          </w:p>
        </w:tc>
      </w:tr>
    </w:tbl>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Walk-in / cash customer handling is not described. Many over-the-counter sales have no customer record. The system needs a 'Cash Sale' mode that works without a registered customer.</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Customer type segmentation is missing — distinguishing contractors, retailers, and end consumers would help with pricing tiers and credit terms.</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No mention of customer price lists or contract pricing. Does this business offer different prices to different customer types or for bulk quantities?</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5.2 GST Rules &amp; Tax Handling</w:t>
      </w:r>
    </w:p>
    <w:p>
      <w:pPr>
        <w:spacing w:before="60" w:after="80"/>
      </w:pPr>
      <w:r>
        <w:rPr>
          <w:rFonts w:ascii="Arial" w:cs="Arial" w:eastAsia="Arial" w:hAnsi="Arial"/>
          <w:color w:val="2C2C2C"/>
          <w:sz w:val="22"/>
          <w:szCs w:val="22"/>
        </w:rPr>
        <w:t xml:space="preserve">GST rates are item-specific — each product carries its own rate based on its HSN code. The system must support all standard GST slabs and automatically determine the correct tax type based on the transaction.</w:t>
      </w:r>
    </w:p>
    <w:p>
      <w:pPr>
        <w:spacing w:before="80" w:after="0"/>
      </w:pPr>
      <w:r>
        <w:t xml:space="preserve"/>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Standard GST Slabs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GST Rate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Essential items (certain food, medicines)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0.25%</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Rough diamonds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Gold, silver, jewellery</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Basic goods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Standard goods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18%</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Most services and general goods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Luxury goods</w:t>
            </w:r>
          </w:p>
        </w:tc>
      </w:tr>
    </w:tbl>
    <w:p>
      <w:pPr>
        <w:spacing w:before="80" w:after="0"/>
      </w:pPr>
      <w:r>
        <w:t xml:space="preserve"/>
      </w:r>
    </w:p>
    <w:p>
      <w:pPr>
        <w:pBdr>
          <w:top w:val="single" w:color="FFC107" w:sz="4"/>
          <w:left w:val="single" w:color="FFC107" w:sz="18"/>
          <w:bottom w:val="single" w:color="FFC107" w:sz="4"/>
          <w:right w:val="single" w:color="FFC107" w:sz="4"/>
        </w:pBdr>
        <w:shd w:fill="FFF3CD" w:val="clear"/>
        <w:spacing w:before="160" w:after="160"/>
        <w:ind w:left="180" w:right="180"/>
      </w:pPr>
      <w:r>
        <w:rPr>
          <w:rFonts w:ascii="Arial" w:cs="Arial" w:eastAsia="Arial" w:hAnsi="Arial"/>
          <w:b/>
          <w:bCs/>
          <w:color w:val="7B5800"/>
          <w:sz w:val="22"/>
          <w:szCs w:val="22"/>
        </w:rPr>
        <w:t xml:space="preserve">⚠ 40% is not a standard GST slab. It typically represents 28% GST + 12% compensation cess, applicable to tobacco, luxury cars, and similar items. This must not be configured as a standard rate.</w:t>
      </w:r>
    </w:p>
    <w:p>
      <w:pPr>
        <w:spacing w:before="100" w:after="0"/>
      </w:pPr>
      <w:r>
        <w:t xml:space="preserve"/>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When to Apply GST (CGST + SGST)</w:t>
      </w:r>
    </w:p>
    <w:p>
      <w:pPr>
        <w:spacing w:before="60" w:after="80"/>
      </w:pPr>
      <w:r>
        <w:rPr>
          <w:rFonts w:ascii="Arial" w:cs="Arial" w:eastAsia="Arial" w:hAnsi="Arial"/>
          <w:color w:val="2C2C2C"/>
          <w:sz w:val="22"/>
          <w:szCs w:val="22"/>
        </w:rPr>
        <w:t xml:space="preserve">When the seller's state and the buyer's state are the same, GST is split equally into CGST and SGST.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at 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CGST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Half of GST rate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 of taxable value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SGST</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Half of GST rate</w:t>
            </w:r>
          </w:p>
        </w:tc>
        <w:tc>
          <w:tcPr>
            <w:tcW w:type="dxa" w:w="3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9% of taxable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Tax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GST rate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18% = ₹180 on ₹1,000</w:t>
            </w:r>
          </w:p>
        </w:tc>
      </w:tr>
    </w:tbl>
    <w:p>
      <w:pPr>
        <w:spacing w:before="100" w:after="0"/>
      </w:pPr>
      <w:r>
        <w:t xml:space="preserve"/>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When to Apply IGST</w:t>
      </w:r>
    </w:p>
    <w:p>
      <w:pPr>
        <w:spacing w:before="60" w:after="80"/>
      </w:pPr>
      <w:r>
        <w:rPr>
          <w:rFonts w:ascii="Arial" w:cs="Arial" w:eastAsia="Arial" w:hAnsi="Arial"/>
          <w:color w:val="2C2C2C"/>
          <w:sz w:val="22"/>
          <w:szCs w:val="22"/>
        </w:rPr>
        <w:t xml:space="preserve">When the seller's state and the buyer's state are different, IGST applies as a single tax — no CGST/SGST split.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at 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IGST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GST rate as one charge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18% of taxable value = ₹180 on ₹1,000</w:t>
            </w:r>
          </w:p>
        </w:tc>
      </w:tr>
    </w:tbl>
    <w:p>
      <w:pPr>
        <w:spacing w:before="80" w:after="0"/>
      </w:pPr>
      <w:r>
        <w:t xml:space="preserve"/>
      </w:r>
    </w:p>
    <w:p>
      <w:pPr>
        <w:spacing w:before="60" w:after="80"/>
      </w:pPr>
      <w:r>
        <w:rPr>
          <w:rFonts w:ascii="Arial" w:cs="Arial" w:eastAsia="Arial" w:hAnsi="Arial"/>
          <w:color w:val="2C2C2C"/>
          <w:sz w:val="22"/>
          <w:szCs w:val="22"/>
        </w:rPr>
        <w:t xml:space="preserve">In both cases, the final price to the customer is identical — only the tax component label changes.</w:t>
      </w:r>
    </w:p>
    <w:p>
      <w:pPr>
        <w:spacing w:before="100" w:after="0"/>
      </w:pPr>
      <w:r>
        <w:t xml:space="preserve"/>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System Behaviour — Automatic Tax Type Selection</w:t>
      </w:r>
    </w:p>
    <w:p>
      <w:pPr>
        <w:pBdr>
          <w:top w:val="single" w:color="FFC107" w:sz="4"/>
          <w:left w:val="single" w:color="FFC107" w:sz="18"/>
          <w:bottom w:val="single" w:color="FFC107" w:sz="4"/>
          <w:right w:val="single" w:color="FFC107" w:sz="4"/>
        </w:pBdr>
        <w:shd w:fill="FFF3CD" w:val="clear"/>
        <w:spacing w:before="160" w:after="160"/>
        <w:ind w:left="180" w:right="180"/>
      </w:pPr>
      <w:r>
        <w:rPr>
          <w:rFonts w:ascii="Arial" w:cs="Arial" w:eastAsia="Arial" w:hAnsi="Arial"/>
          <w:b/>
          <w:bCs/>
          <w:color w:val="7B5800"/>
          <w:sz w:val="22"/>
          <w:szCs w:val="22"/>
        </w:rPr>
        <w:t xml:space="preserve">⚠ The user must never manually choose between GST and IGST. The system decides automatically based on the seller state (company profile) vs. the buyer state (customer record).</w:t>
      </w:r>
    </w:p>
    <w:p>
      <w:pPr>
        <w:spacing w:before="80" w:after="0"/>
      </w:pPr>
      <w:r>
        <w:t xml:space="preserve"/>
      </w:r>
    </w:p>
    <w:p>
      <w:pPr>
        <w:pStyle w:val="ListParagraph"/>
        <w:numPr>
          <w:ilvl w:val="0"/>
          <w:numId w:val="2"/>
        </w:numPr>
        <w:spacing w:before="40" w:after="40"/>
      </w:pPr>
      <w:r>
        <w:rPr>
          <w:rFonts w:ascii="Arial" w:cs="Arial" w:eastAsia="Arial" w:hAnsi="Arial"/>
          <w:color w:val="2C2C2C"/>
          <w:sz w:val="22"/>
          <w:szCs w:val="22"/>
        </w:rPr>
        <w:t xml:space="preserve">Seller state = Buyer state → Apply CGST + SGST</w:t>
      </w:r>
    </w:p>
    <w:p>
      <w:pPr>
        <w:pStyle w:val="ListParagraph"/>
        <w:numPr>
          <w:ilvl w:val="0"/>
          <w:numId w:val="2"/>
        </w:numPr>
        <w:spacing w:before="40" w:after="40"/>
      </w:pPr>
      <w:r>
        <w:rPr>
          <w:rFonts w:ascii="Arial" w:cs="Arial" w:eastAsia="Arial" w:hAnsi="Arial"/>
          <w:color w:val="2C2C2C"/>
          <w:sz w:val="22"/>
          <w:szCs w:val="22"/>
        </w:rPr>
        <w:t xml:space="preserve">Seller state ≠ Buyer state → Apply IGST</w:t>
      </w:r>
    </w:p>
    <w:p>
      <w:pPr>
        <w:spacing w:before="80" w:after="0"/>
      </w:pPr>
      <w:r>
        <w:t xml:space="preserve"/>
      </w:r>
    </w:p>
    <w:p>
      <w:pPr>
        <w:spacing w:before="60" w:after="80"/>
      </w:pPr>
      <w:r>
        <w:rPr>
          <w:rFonts w:ascii="Arial" w:cs="Arial" w:eastAsia="Arial" w:hAnsi="Arial"/>
          <w:color w:val="2C2C2C"/>
          <w:sz w:val="22"/>
          <w:szCs w:val="22"/>
        </w:rPr>
        <w:t xml:space="preserve">The GST rate itself is pulled from the product's HSN code. If an invoice has multiple line items with different HSN codes (e.g., one item at 12% and another at 18%), each line item is taxed at its own rate independently. The invoice totals all tax components at the end.</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HSN code must be mandatory on every product. If HSN is missing, the system cannot determine the correct GST rate and the invoice will be non-compliant.</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Invoices with mixed GST rates (e.g., some items at 12%, others at 18%) must show a tax breakup per rate slab, not just a single total — this is required for GSTR-1 filing.</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5.3 Sales Invoice</w:t>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Mandatory Invoice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Invoice Number (auto-increment)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invoices</w:t>
            </w:r>
          </w:p>
        </w:tc>
      </w:tr>
      <w:tr>
        <w:tc>
          <w:tcPr>
            <w:tcW w:type="dxa" w:w="5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Invoice Date</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All invoices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Supplier GSTIN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invoices</w:t>
            </w:r>
          </w:p>
        </w:tc>
      </w:tr>
      <w:tr>
        <w:tc>
          <w:tcPr>
            <w:tcW w:type="dxa" w:w="5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Customer GSTIN</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B2B invoices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Place of Supply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invoices</w:t>
            </w:r>
          </w:p>
        </w:tc>
      </w:tr>
      <w:tr>
        <w:tc>
          <w:tcPr>
            <w:tcW w:type="dxa" w:w="5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HSN Code per line item</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All invoices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Item Description, Qty, Unit, 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invoices</w:t>
            </w:r>
          </w:p>
        </w:tc>
      </w:tr>
      <w:tr>
        <w:tc>
          <w:tcPr>
            <w:tcW w:type="dxa" w:w="5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Taxable Value, GST %, Tax Amount</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All invoices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CGST/SGST or IGST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Based on state</w:t>
            </w:r>
          </w:p>
        </w:tc>
      </w:tr>
      <w:tr>
        <w:tc>
          <w:tcPr>
            <w:tcW w:type="dxa" w:w="5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Round-off, Grand Total</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All invoices</w:t>
            </w:r>
          </w:p>
        </w:tc>
      </w:tr>
    </w:tbl>
    <w:p>
      <w:pPr>
        <w:spacing w:before="80" w:after="0"/>
      </w:pPr>
      <w:r>
        <w:t xml:space="preserve"/>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Invoice Types</w:t>
      </w:r>
    </w:p>
    <w:p>
      <w:pPr>
        <w:pStyle w:val="ListParagraph"/>
        <w:numPr>
          <w:ilvl w:val="0"/>
          <w:numId w:val="2"/>
        </w:numPr>
        <w:spacing w:before="40" w:after="40"/>
      </w:pPr>
      <w:r>
        <w:rPr>
          <w:rFonts w:ascii="Arial" w:cs="Arial" w:eastAsia="Arial" w:hAnsi="Arial"/>
          <w:color w:val="2C2C2C"/>
          <w:sz w:val="22"/>
          <w:szCs w:val="22"/>
        </w:rPr>
        <w:t xml:space="preserve">Tax Invoice — standard GST invoice for B2B and B2C sales</w:t>
      </w:r>
    </w:p>
    <w:p>
      <w:pPr>
        <w:pStyle w:val="ListParagraph"/>
        <w:numPr>
          <w:ilvl w:val="0"/>
          <w:numId w:val="2"/>
        </w:numPr>
        <w:spacing w:before="40" w:after="40"/>
      </w:pPr>
      <w:r>
        <w:rPr>
          <w:rFonts w:ascii="Arial" w:cs="Arial" w:eastAsia="Arial" w:hAnsi="Arial"/>
          <w:color w:val="2C2C2C"/>
          <w:sz w:val="22"/>
          <w:szCs w:val="22"/>
        </w:rPr>
        <w:t xml:space="preserve">Bill of Supply — for exempt or zero-rated goods</w:t>
      </w:r>
    </w:p>
    <w:p>
      <w:pPr>
        <w:pStyle w:val="ListParagraph"/>
        <w:numPr>
          <w:ilvl w:val="0"/>
          <w:numId w:val="2"/>
        </w:numPr>
        <w:spacing w:before="40" w:after="40"/>
      </w:pPr>
      <w:r>
        <w:rPr>
          <w:rFonts w:ascii="Arial" w:cs="Arial" w:eastAsia="Arial" w:hAnsi="Arial"/>
          <w:color w:val="2C2C2C"/>
          <w:sz w:val="22"/>
          <w:szCs w:val="22"/>
        </w:rPr>
        <w:t xml:space="preserve">Proforma Invoice — quotation format, does not update accounts or stock</w:t>
      </w:r>
    </w:p>
    <w:p>
      <w:pPr>
        <w:pStyle w:val="ListParagraph"/>
        <w:numPr>
          <w:ilvl w:val="0"/>
          <w:numId w:val="2"/>
        </w:numPr>
        <w:spacing w:before="40" w:after="40"/>
      </w:pPr>
      <w:r>
        <w:rPr>
          <w:rFonts w:ascii="Arial" w:cs="Arial" w:eastAsia="Arial" w:hAnsi="Arial"/>
          <w:color w:val="2C2C2C"/>
          <w:sz w:val="22"/>
          <w:szCs w:val="22"/>
        </w:rPr>
        <w:t xml:space="preserve">Credit Note — issued to customer for returns or adjustments</w:t>
      </w:r>
    </w:p>
    <w:p>
      <w:pPr>
        <w:pStyle w:val="ListParagraph"/>
        <w:numPr>
          <w:ilvl w:val="0"/>
          <w:numId w:val="2"/>
        </w:numPr>
        <w:spacing w:before="40" w:after="40"/>
      </w:pPr>
      <w:r>
        <w:rPr>
          <w:rFonts w:ascii="Arial" w:cs="Arial" w:eastAsia="Arial" w:hAnsi="Arial"/>
          <w:color w:val="2C2C2C"/>
          <w:sz w:val="22"/>
          <w:szCs w:val="22"/>
        </w:rPr>
        <w:t xml:space="preserve">Debit Note — issued to customer for additional charges</w:t>
      </w:r>
    </w:p>
    <w:p>
      <w:pPr>
        <w:spacing w:before="80" w:after="0"/>
      </w:pPr>
      <w:r>
        <w:t xml:space="preserve"/>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Invoice Output</w:t>
      </w:r>
    </w:p>
    <w:p>
      <w:pPr>
        <w:pStyle w:val="ListParagraph"/>
        <w:numPr>
          <w:ilvl w:val="0"/>
          <w:numId w:val="2"/>
        </w:numPr>
        <w:spacing w:before="40" w:after="40"/>
      </w:pPr>
      <w:r>
        <w:rPr>
          <w:rFonts w:ascii="Arial" w:cs="Arial" w:eastAsia="Arial" w:hAnsi="Arial"/>
          <w:color w:val="2C2C2C"/>
          <w:sz w:val="22"/>
          <w:szCs w:val="22"/>
        </w:rPr>
        <w:t xml:space="preserve">Printable PDF — A4 format with company header, logo, GSTIN, bank details, terms</w:t>
      </w:r>
    </w:p>
    <w:p>
      <w:pPr>
        <w:pStyle w:val="ListParagraph"/>
        <w:numPr>
          <w:ilvl w:val="0"/>
          <w:numId w:val="2"/>
        </w:numPr>
        <w:spacing w:before="40" w:after="40"/>
      </w:pPr>
      <w:r>
        <w:rPr>
          <w:rFonts w:ascii="Arial" w:cs="Arial" w:eastAsia="Arial" w:hAnsi="Arial"/>
          <w:color w:val="2C2C2C"/>
          <w:sz w:val="22"/>
          <w:szCs w:val="22"/>
        </w:rPr>
        <w:t xml:space="preserve">Shareable PDF — for WhatsApp and email</w:t>
      </w:r>
    </w:p>
    <w:p>
      <w:pPr>
        <w:pStyle w:val="ListParagraph"/>
        <w:numPr>
          <w:ilvl w:val="0"/>
          <w:numId w:val="2"/>
        </w:numPr>
        <w:spacing w:before="40" w:after="40"/>
      </w:pPr>
      <w:r>
        <w:rPr>
          <w:rFonts w:ascii="Arial" w:cs="Arial" w:eastAsia="Arial" w:hAnsi="Arial"/>
          <w:color w:val="2C2C2C"/>
          <w:sz w:val="22"/>
          <w:szCs w:val="22"/>
        </w:rPr>
        <w:t xml:space="preserve">Fields for E-Way Bill number (optional at this stage)</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Quotation / estimate workflow is missing. Most equipment businesses send quotations before raising invoices. Quotations need to convert to invoices without re-entry.</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Delivery challan is not mentioned. Goods are often dispatched with a challan before the invoice is finalized. This is standard practice in equipment and hardware trade.</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Partial billing / advance billing is not addressed. If a customer pays 50% upfront and 50% on delivery, the billing flow needs to handle this.</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Sales return (credit note) process needs a full entry screen — not just a document type. It should reverse stock, reverse GST, and update the customer ledger.</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E-invoicing (IRN / QR code): if annual turnover crosses the GST threshold, e-invoicing becomes mandatory. This should be scoped as a near-future requirement, not just a future QR code.</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Invoice numbering series: some businesses use separate series for different document types or financial years. The prefix/series configuration in Settings should cover this explicitly.</w:t>
      </w:r>
    </w:p>
    <w:p>
      <w:pPr>
        <w:pStyle w:val="Heading1"/>
        <w:pBdr>
          <w:bottom w:val="single" w:color="2E75B6" w:sz="8" w:space="4"/>
        </w:pBdr>
        <w:spacing w:before="400" w:after="160"/>
      </w:pPr>
      <w:r>
        <w:rPr>
          <w:rFonts w:ascii="Arial" w:cs="Arial" w:eastAsia="Arial" w:hAnsi="Arial"/>
          <w:b/>
          <w:bCs/>
          <w:color w:val="1F4E79"/>
          <w:sz w:val="32"/>
          <w:szCs w:val="32"/>
        </w:rPr>
        <w:t xml:space="preserve">7. Accounting</w:t>
      </w:r>
    </w:p>
    <w:p>
      <w:pPr>
        <w:spacing w:before="60" w:after="80"/>
      </w:pPr>
      <w:r>
        <w:rPr>
          <w:rFonts w:ascii="Arial" w:cs="Arial" w:eastAsia="Arial" w:hAnsi="Arial"/>
          <w:color w:val="2C2C2C"/>
          <w:sz w:val="22"/>
          <w:szCs w:val="22"/>
        </w:rPr>
        <w:t xml:space="preserve">This system is not just a billing tool — it maintains a full double-entry ledger. Every transaction automatically creates the correct accounting entries. No manual journal corrections should be needed for routine operations.</w:t>
      </w:r>
    </w:p>
    <w:p>
      <w:pPr>
        <w:pStyle w:val="Heading2"/>
        <w:spacing w:before="280" w:after="120"/>
      </w:pPr>
      <w:r>
        <w:rPr>
          <w:rFonts w:ascii="Arial" w:cs="Arial" w:eastAsia="Arial" w:hAnsi="Arial"/>
          <w:b/>
          <w:bCs/>
          <w:color w:val="2E75B6"/>
          <w:sz w:val="26"/>
          <w:szCs w:val="26"/>
        </w:rPr>
        <w:t xml:space="preserve">6.1 Chart of Accounts</w:t>
      </w:r>
    </w:p>
    <w:p>
      <w:pPr>
        <w:spacing w:before="60" w:after="80"/>
      </w:pPr>
      <w:r>
        <w:rPr>
          <w:rFonts w:ascii="Arial" w:cs="Arial" w:eastAsia="Arial" w:hAnsi="Arial"/>
          <w:color w:val="2C2C2C"/>
          <w:sz w:val="22"/>
          <w:szCs w:val="22"/>
        </w:rPr>
        <w:t xml:space="preserve">The default account structure covers the core accounts needed for this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Assets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Cash, Bank Account(s), Accounts Receivable (Debtors), Inventory, Input GST (CGST, SGST, IGST)</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Liabilities</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Accounts Payable (Creditors), Output GST (CGST, SGST, IGST)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Income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Sales (can be split by category for reporting)</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Expenses</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Purchases, Freight Inward, Round-Off</w:t>
            </w:r>
          </w:p>
        </w:tc>
      </w:tr>
    </w:tbl>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Expense accounts beyond freight are missing — rent, salary, utilities, and other operating expenses are not mentioned. If this is meant to be a full P&amp;L system, all expense heads must be defined.</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Multiple bank accounts: businesses often have more than one bank account. The chart of accounts and payment entry must support this.</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Cash and bank accounts need an opening balance at go-live, just like vendors and customers. This is not mentioned.</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6.2 Automatic Journal Entries</w:t>
      </w:r>
    </w:p>
    <w:p>
      <w:pPr>
        <w:spacing w:before="60" w:after="80"/>
      </w:pPr>
      <w:r>
        <w:rPr>
          <w:rFonts w:ascii="Arial" w:cs="Arial" w:eastAsia="Arial" w:hAnsi="Arial"/>
          <w:color w:val="2C2C2C"/>
          <w:sz w:val="22"/>
          <w:szCs w:val="22"/>
        </w:rPr>
        <w:t xml:space="preserve">Every transaction type generates accounting entries without manual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Transaction</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Debit</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Credit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Sales Invoice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 (Debtor)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Sales + Output GST</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Purchase Bill</w:t>
            </w:r>
          </w:p>
        </w:tc>
        <w:tc>
          <w:tcPr>
            <w:tcW w:type="dxa" w:w="31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Purchase + Input GST</w:t>
            </w:r>
          </w:p>
        </w:tc>
        <w:tc>
          <w:tcPr>
            <w:tcW w:type="dxa" w:w="31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Vendor (Creditor)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Payment Received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Bank / Cash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 (Debtor)</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Payment Made</w:t>
            </w:r>
          </w:p>
        </w:tc>
        <w:tc>
          <w:tcPr>
            <w:tcW w:type="dxa" w:w="31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Vendor (Creditor)</w:t>
            </w:r>
          </w:p>
        </w:tc>
        <w:tc>
          <w:tcPr>
            <w:tcW w:type="dxa" w:w="31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Bank / Cash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 Note (Sales Return)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Sales + Output GST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 (Debtor)</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Debit Note (Purchase Return)</w:t>
            </w:r>
          </w:p>
        </w:tc>
        <w:tc>
          <w:tcPr>
            <w:tcW w:type="dxa" w:w="31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Vendor (Creditor)</w:t>
            </w:r>
          </w:p>
        </w:tc>
        <w:tc>
          <w:tcPr>
            <w:tcW w:type="dxa" w:w="31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Purchase + Input GST</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6.3 Payment Allocation</w:t>
      </w:r>
    </w:p>
    <w:p>
      <w:pPr>
        <w:spacing w:before="60" w:after="80"/>
      </w:pPr>
      <w:r>
        <w:rPr>
          <w:rFonts w:ascii="Arial" w:cs="Arial" w:eastAsia="Arial" w:hAnsi="Arial"/>
          <w:color w:val="2C2C2C"/>
          <w:sz w:val="22"/>
          <w:szCs w:val="22"/>
        </w:rPr>
        <w:t xml:space="preserve">When a customer makes a payment, it must be allocated against one or more open invoices. The system must handle cases where the payment amount does not exactly match a single invoice.</w:t>
      </w:r>
    </w:p>
    <w:p>
      <w:pPr>
        <w:spacing w:before="80" w:after="0"/>
      </w:pPr>
      <w:r>
        <w:t xml:space="preserve"/>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Example</w:t>
      </w:r>
    </w:p>
    <w:p>
      <w:pPr>
        <w:spacing w:before="60" w:after="80"/>
      </w:pPr>
      <w:r>
        <w:rPr>
          <w:rFonts w:ascii="Arial" w:cs="Arial" w:eastAsia="Arial" w:hAnsi="Arial"/>
          <w:color w:val="2C2C2C"/>
          <w:sz w:val="22"/>
          <w:szCs w:val="22"/>
        </w:rPr>
        <w:t xml:space="preserve">A customer pays ₹10,000. Their open invoices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Invoice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Amount Due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INV-001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₹3,000</w:t>
            </w:r>
          </w:p>
        </w:tc>
      </w:tr>
      <w:tr>
        <w:tc>
          <w:tcPr>
            <w:tcW w:type="dxa" w:w="4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INV-002</w:t>
            </w:r>
          </w:p>
        </w:tc>
        <w:tc>
          <w:tcPr>
            <w:tcW w:type="dxa" w:w="5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₹4,000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INV-003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₹5,000</w:t>
            </w:r>
          </w:p>
        </w:tc>
      </w:tr>
      <w:tr>
        <w:tc>
          <w:tcPr>
            <w:tcW w:type="dxa" w:w="4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Total Outstanding</w:t>
            </w:r>
          </w:p>
        </w:tc>
        <w:tc>
          <w:tcPr>
            <w:tcW w:type="dxa" w:w="5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₹12,000</w:t>
            </w:r>
          </w:p>
        </w:tc>
      </w:tr>
    </w:tbl>
    <w:p>
      <w:pPr>
        <w:spacing w:before="80" w:after="0"/>
      </w:pPr>
      <w:r>
        <w:t xml:space="preserve"/>
      </w:r>
    </w:p>
    <w:p>
      <w:pPr>
        <w:spacing w:before="60" w:after="80"/>
      </w:pPr>
      <w:r>
        <w:rPr>
          <w:rFonts w:ascii="Arial" w:cs="Arial" w:eastAsia="Arial" w:hAnsi="Arial"/>
          <w:color w:val="2C2C2C"/>
          <w:sz w:val="22"/>
          <w:szCs w:val="22"/>
        </w:rPr>
        <w:t xml:space="preserve">The ₹10,000 payment does not cover all three invoices. The system must support the following allocation methods: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FIFO (recommended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Payment is applied to the oldest invoice first, then the next, until the amount is exhausted. INV-001 fully settled (₹3,000), INV-002 fully settled (₹4,000), INV-003 partially settled (₹3,000 of ₹5,000 paid)</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Manual Allocation</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User selects which invoices to settle and enters the amount against each. Full control over where the payment goes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Partial Settlement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single invoice can be partially settled — the remaining balance stays open and appears in future outstanding reports</w:t>
            </w:r>
          </w:p>
        </w:tc>
      </w:tr>
    </w:tbl>
    <w:p>
      <w:pPr>
        <w:spacing w:before="80" w:after="0"/>
      </w:pPr>
      <w:r>
        <w:t xml:space="preserve"/>
      </w:r>
    </w:p>
    <w:p>
      <w:pPr>
        <w:pBdr>
          <w:top w:val="single" w:color="FFC107" w:sz="4"/>
          <w:left w:val="single" w:color="FFC107" w:sz="18"/>
          <w:bottom w:val="single" w:color="FFC107" w:sz="4"/>
          <w:right w:val="single" w:color="FFC107" w:sz="4"/>
        </w:pBdr>
        <w:shd w:fill="FFF3CD" w:val="clear"/>
        <w:spacing w:before="160" w:after="160"/>
        <w:ind w:left="180" w:right="180"/>
      </w:pPr>
      <w:r>
        <w:rPr>
          <w:rFonts w:ascii="Arial" w:cs="Arial" w:eastAsia="Arial" w:hAnsi="Arial"/>
          <w:b/>
          <w:bCs/>
          <w:color w:val="7B5800"/>
          <w:sz w:val="22"/>
          <w:szCs w:val="22"/>
        </w:rPr>
        <w:t xml:space="preserve">⚠ Unapplied payments (where the customer has paid but no invoice is yet allocated) must be tracked as advance receipts — not silently absorbed. They must appear on the customer ledger and be allocatable later.</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The same allocation logic applies to vendor payments against purchase bills. Both directions must behave consistently.</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6.4 Accounting Reports</w:t>
      </w:r>
    </w:p>
    <w:p>
      <w:pPr>
        <w:pStyle w:val="ListParagraph"/>
        <w:numPr>
          <w:ilvl w:val="0"/>
          <w:numId w:val="2"/>
        </w:numPr>
        <w:spacing w:before="40" w:after="40"/>
      </w:pPr>
      <w:r>
        <w:rPr>
          <w:rFonts w:ascii="Arial" w:cs="Arial" w:eastAsia="Arial" w:hAnsi="Arial"/>
          <w:color w:val="2C2C2C"/>
          <w:sz w:val="22"/>
          <w:szCs w:val="22"/>
        </w:rPr>
        <w:t xml:space="preserve">Customer Ledger — full transaction history per customer</w:t>
      </w:r>
    </w:p>
    <w:p>
      <w:pPr>
        <w:pStyle w:val="ListParagraph"/>
        <w:numPr>
          <w:ilvl w:val="0"/>
          <w:numId w:val="2"/>
        </w:numPr>
        <w:spacing w:before="40" w:after="40"/>
      </w:pPr>
      <w:r>
        <w:rPr>
          <w:rFonts w:ascii="Arial" w:cs="Arial" w:eastAsia="Arial" w:hAnsi="Arial"/>
          <w:color w:val="2C2C2C"/>
          <w:sz w:val="22"/>
          <w:szCs w:val="22"/>
        </w:rPr>
        <w:t xml:space="preserve">Vendor Ledger — full transaction history per vendor</w:t>
      </w:r>
    </w:p>
    <w:p>
      <w:pPr>
        <w:pStyle w:val="ListParagraph"/>
        <w:numPr>
          <w:ilvl w:val="0"/>
          <w:numId w:val="2"/>
        </w:numPr>
        <w:spacing w:before="40" w:after="40"/>
      </w:pPr>
      <w:r>
        <w:rPr>
          <w:rFonts w:ascii="Arial" w:cs="Arial" w:eastAsia="Arial" w:hAnsi="Arial"/>
          <w:color w:val="2C2C2C"/>
          <w:sz w:val="22"/>
          <w:szCs w:val="22"/>
        </w:rPr>
        <w:t xml:space="preserve">Trial Balance — all accounts with debit/credit totals</w:t>
      </w:r>
    </w:p>
    <w:p>
      <w:pPr>
        <w:pStyle w:val="ListParagraph"/>
        <w:numPr>
          <w:ilvl w:val="0"/>
          <w:numId w:val="2"/>
        </w:numPr>
        <w:spacing w:before="40" w:after="40"/>
      </w:pPr>
      <w:r>
        <w:rPr>
          <w:rFonts w:ascii="Arial" w:cs="Arial" w:eastAsia="Arial" w:hAnsi="Arial"/>
          <w:color w:val="2C2C2C"/>
          <w:sz w:val="22"/>
          <w:szCs w:val="22"/>
        </w:rPr>
        <w:t xml:space="preserve">Profit &amp; Loss Statement — income vs. expenses for a period</w:t>
      </w:r>
    </w:p>
    <w:p>
      <w:pPr>
        <w:pStyle w:val="ListParagraph"/>
        <w:numPr>
          <w:ilvl w:val="0"/>
          <w:numId w:val="2"/>
        </w:numPr>
        <w:spacing w:before="40" w:after="40"/>
      </w:pPr>
      <w:r>
        <w:rPr>
          <w:rFonts w:ascii="Arial" w:cs="Arial" w:eastAsia="Arial" w:hAnsi="Arial"/>
          <w:color w:val="2C2C2C"/>
          <w:sz w:val="22"/>
          <w:szCs w:val="22"/>
        </w:rPr>
        <w:t xml:space="preserve">Balance Sheet — assets, liabilities, and equity at a point in time</w:t>
      </w:r>
    </w:p>
    <w:p>
      <w:pPr>
        <w:pStyle w:val="ListParagraph"/>
        <w:numPr>
          <w:ilvl w:val="0"/>
          <w:numId w:val="2"/>
        </w:numPr>
        <w:spacing w:before="40" w:after="40"/>
      </w:pPr>
      <w:r>
        <w:rPr>
          <w:rFonts w:ascii="Arial" w:cs="Arial" w:eastAsia="Arial" w:hAnsi="Arial"/>
          <w:color w:val="2C2C2C"/>
          <w:sz w:val="22"/>
          <w:szCs w:val="22"/>
        </w:rPr>
        <w:t xml:space="preserve">GST Summary — tax collected and paid, by period</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Bank reconciliation is not mentioned. The system should allow matching bank statement entries against system entries to identify discrepancies.</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Outstanding receivables report (ageing) is missing — how much is owed by customers, for how long? Essential for collections.</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Outstanding payables report (ageing) is missing — how much is owed to vendors, and what is overdue? Essential for cash flow management.</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Cash flow statement is absent from the report list.</w:t>
      </w:r>
    </w:p>
    <w:p>
      <w:pPr>
        <w:pStyle w:val="Heading1"/>
        <w:pBdr>
          <w:bottom w:val="single" w:color="2E75B6" w:sz="8" w:space="4"/>
        </w:pBdr>
        <w:spacing w:before="400" w:after="160"/>
      </w:pPr>
      <w:r>
        <w:rPr>
          <w:rFonts w:ascii="Arial" w:cs="Arial" w:eastAsia="Arial" w:hAnsi="Arial"/>
          <w:b/>
          <w:bCs/>
          <w:color w:val="1F4E79"/>
          <w:sz w:val="32"/>
          <w:szCs w:val="32"/>
        </w:rPr>
        <w:t xml:space="preserve">8. GST Reporting</w:t>
      </w:r>
    </w:p>
    <w:p>
      <w:pPr>
        <w:spacing w:before="60" w:after="80"/>
      </w:pPr>
      <w:r>
        <w:rPr>
          <w:rFonts w:ascii="Arial" w:cs="Arial" w:eastAsia="Arial" w:hAnsi="Arial"/>
          <w:color w:val="2C2C2C"/>
          <w:sz w:val="22"/>
          <w:szCs w:val="22"/>
        </w:rPr>
        <w:t xml:space="preserve">The system must generate all data required for GST return filing. This does not replace a CA or tax professional but ensures the business has clean, accurate data ready for filing.</w:t>
      </w:r>
    </w:p>
    <w:p>
      <w:pPr>
        <w:spacing w:before="80" w:after="0"/>
      </w:pPr>
      <w:r>
        <w:t xml:space="preserve"/>
      </w:r>
    </w:p>
    <w:p>
      <w:pPr>
        <w:pStyle w:val="ListParagraph"/>
        <w:numPr>
          <w:ilvl w:val="0"/>
          <w:numId w:val="2"/>
        </w:numPr>
        <w:spacing w:before="40" w:after="40"/>
      </w:pPr>
      <w:r>
        <w:rPr>
          <w:rFonts w:ascii="Arial" w:cs="Arial" w:eastAsia="Arial" w:hAnsi="Arial"/>
          <w:color w:val="2C2C2C"/>
          <w:sz w:val="22"/>
          <w:szCs w:val="22"/>
        </w:rPr>
        <w:t xml:space="preserve">GSTR-1 data — outward supplies (sales), organized by B2B, B2C, HSN summary, and document-type breakdowns</w:t>
      </w:r>
    </w:p>
    <w:p>
      <w:pPr>
        <w:pStyle w:val="ListParagraph"/>
        <w:numPr>
          <w:ilvl w:val="0"/>
          <w:numId w:val="2"/>
        </w:numPr>
        <w:spacing w:before="40" w:after="40"/>
      </w:pPr>
      <w:r>
        <w:rPr>
          <w:rFonts w:ascii="Arial" w:cs="Arial" w:eastAsia="Arial" w:hAnsi="Arial"/>
          <w:color w:val="2C2C2C"/>
          <w:sz w:val="22"/>
          <w:szCs w:val="22"/>
        </w:rPr>
        <w:t xml:space="preserve">GSTR-3B summary — net tax liability, input credit, and tax payable</w:t>
      </w:r>
    </w:p>
    <w:p>
      <w:pPr>
        <w:pStyle w:val="ListParagraph"/>
        <w:numPr>
          <w:ilvl w:val="0"/>
          <w:numId w:val="2"/>
        </w:numPr>
        <w:spacing w:before="40" w:after="40"/>
      </w:pPr>
      <w:r>
        <w:rPr>
          <w:rFonts w:ascii="Arial" w:cs="Arial" w:eastAsia="Arial" w:hAnsi="Arial"/>
          <w:color w:val="2C2C2C"/>
          <w:sz w:val="22"/>
          <w:szCs w:val="22"/>
        </w:rPr>
        <w:t xml:space="preserve">HSN-wise summary — quantity and value sold per HSN code</w:t>
      </w:r>
    </w:p>
    <w:p>
      <w:pPr>
        <w:pStyle w:val="ListParagraph"/>
        <w:numPr>
          <w:ilvl w:val="0"/>
          <w:numId w:val="2"/>
        </w:numPr>
        <w:spacing w:before="40" w:after="40"/>
      </w:pPr>
      <w:r>
        <w:rPr>
          <w:rFonts w:ascii="Arial" w:cs="Arial" w:eastAsia="Arial" w:hAnsi="Arial"/>
          <w:color w:val="2C2C2C"/>
          <w:sz w:val="22"/>
          <w:szCs w:val="22"/>
        </w:rPr>
        <w:t xml:space="preserve">Input Tax Credit (ITC) report — GST paid on purchases available as credit</w:t>
      </w:r>
    </w:p>
    <w:p>
      <w:pPr>
        <w:pStyle w:val="ListParagraph"/>
        <w:numPr>
          <w:ilvl w:val="0"/>
          <w:numId w:val="2"/>
        </w:numPr>
        <w:spacing w:before="40" w:after="40"/>
      </w:pPr>
      <w:r>
        <w:rPr>
          <w:rFonts w:ascii="Arial" w:cs="Arial" w:eastAsia="Arial" w:hAnsi="Arial"/>
          <w:color w:val="2C2C2C"/>
          <w:sz w:val="22"/>
          <w:szCs w:val="22"/>
        </w:rPr>
        <w:t xml:space="preserve">Tax Liability Report — output tax collected vs. input tax paid</w:t>
      </w:r>
    </w:p>
    <w:p>
      <w:pPr>
        <w:spacing w:before="80" w:after="0"/>
      </w:pPr>
      <w:r>
        <w:t xml:space="preserve"/>
      </w:r>
    </w:p>
    <w:p>
      <w:pPr>
        <w:pBdr>
          <w:top w:val="none" w:color="FFFFFF" w:sz="0"/>
          <w:left w:val="single" w:color="2E75B6" w:sz="18" w:space="0"/>
          <w:bottom w:val="none" w:color="FFFFFF" w:sz="0"/>
          <w:right w:val="none" w:color="FFFFFF" w:sz="0"/>
        </w:pBdr>
        <w:shd w:fill="D6E4F0" w:val="clear"/>
        <w:spacing w:before="200" w:after="100"/>
        <w:ind w:left="180" w:right="0"/>
      </w:pPr>
      <w:r>
        <w:rPr>
          <w:rFonts w:ascii="Arial" w:cs="Arial" w:eastAsia="Arial" w:hAnsi="Arial"/>
          <w:b/>
          <w:bCs/>
          <w:color w:val="1F4E79"/>
          <w:sz w:val="22"/>
          <w:szCs w:val="22"/>
        </w:rPr>
        <w:t xml:space="preserve">Export Formats</w:t>
      </w:r>
    </w:p>
    <w:p>
      <w:pPr>
        <w:pStyle w:val="ListParagraph"/>
        <w:numPr>
          <w:ilvl w:val="0"/>
          <w:numId w:val="2"/>
        </w:numPr>
        <w:spacing w:before="40" w:after="40"/>
      </w:pPr>
      <w:r>
        <w:rPr>
          <w:rFonts w:ascii="Arial" w:cs="Arial" w:eastAsia="Arial" w:hAnsi="Arial"/>
          <w:color w:val="2C2C2C"/>
          <w:sz w:val="22"/>
          <w:szCs w:val="22"/>
        </w:rPr>
        <w:t xml:space="preserve">Excel — for manual review and sharing with CA</w:t>
      </w:r>
    </w:p>
    <w:p>
      <w:pPr>
        <w:pStyle w:val="ListParagraph"/>
        <w:numPr>
          <w:ilvl w:val="0"/>
          <w:numId w:val="2"/>
        </w:numPr>
        <w:spacing w:before="40" w:after="40"/>
      </w:pPr>
      <w:r>
        <w:rPr>
          <w:rFonts w:ascii="Arial" w:cs="Arial" w:eastAsia="Arial" w:hAnsi="Arial"/>
          <w:color w:val="2C2C2C"/>
          <w:sz w:val="22"/>
          <w:szCs w:val="22"/>
        </w:rPr>
        <w:t xml:space="preserve">JSON — for future direct upload to GST portal</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GSTR-2B reconciliation is missing — matching purchase invoices in the system against what vendors have filed on the portal. Mismatches cause ITC disputes.</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E-way bill integration is marked as optional but should be scoped now for shipments above the value threshold.</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Composition scheme handling: if any vendor or the business itself is under the composition scheme, different tax rules apply and must be handled explicitly.</w:t>
      </w:r>
    </w:p>
    <w:p>
      <w:pPr>
        <w:pStyle w:val="Heading1"/>
        <w:pBdr>
          <w:bottom w:val="single" w:color="2E75B6" w:sz="8" w:space="4"/>
        </w:pBdr>
        <w:spacing w:before="400" w:after="160"/>
      </w:pPr>
      <w:r>
        <w:rPr>
          <w:rFonts w:ascii="Arial" w:cs="Arial" w:eastAsia="Arial" w:hAnsi="Arial"/>
          <w:b/>
          <w:bCs/>
          <w:color w:val="1F4E79"/>
          <w:sz w:val="32"/>
          <w:szCs w:val="32"/>
        </w:rPr>
        <w:t xml:space="preserve">9. User Management &amp; Access Control</w:t>
      </w:r>
    </w:p>
    <w:p>
      <w:pPr>
        <w:pStyle w:val="Heading2"/>
        <w:spacing w:before="280" w:after="120"/>
      </w:pPr>
      <w:r>
        <w:rPr>
          <w:rFonts w:ascii="Arial" w:cs="Arial" w:eastAsia="Arial" w:hAnsi="Arial"/>
          <w:b/>
          <w:bCs/>
          <w:color w:val="2E75B6"/>
          <w:sz w:val="26"/>
          <w:szCs w:val="26"/>
        </w:rPr>
        <w:t xml:space="preserve">8.1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access — all modules, settings, user management, delete/edit any record</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Accountant</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Purchase bills, payments, accounting entries, all financial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Sales invoices, customer records, stock visibility (read), no pricing edits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Inventory Manager</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Stock entries, purchase receipt, stock adjustments, inventory reports</w:t>
            </w:r>
          </w:p>
        </w:tc>
      </w:tr>
    </w:tbl>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Role permissions are described in broad terms. A detailed permission matrix (which screens can each role access, and what can they create / edit / delete / approve) must be defined before development begins.</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Approval workflows are not defined. Who approves a stock adjustment? Who authorizes a credit note above a certain value? These need rules.</w:t>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Price override permission: sales staff may need to discount — but who can override the selling price, and by how much? No rule is defined.</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8.2 Audit Trail</w:t>
      </w:r>
    </w:p>
    <w:p>
      <w:pPr>
        <w:spacing w:before="60" w:after="80"/>
      </w:pPr>
      <w:r>
        <w:rPr>
          <w:rFonts w:ascii="Arial" w:cs="Arial" w:eastAsia="Arial" w:hAnsi="Arial"/>
          <w:color w:val="2C2C2C"/>
          <w:sz w:val="22"/>
          <w:szCs w:val="22"/>
        </w:rPr>
        <w:t xml:space="preserve">Every change to a record is logged. The log captures:</w:t>
      </w:r>
    </w:p>
    <w:p>
      <w:pPr>
        <w:pStyle w:val="ListParagraph"/>
        <w:numPr>
          <w:ilvl w:val="0"/>
          <w:numId w:val="2"/>
        </w:numPr>
        <w:spacing w:before="40" w:after="40"/>
      </w:pPr>
      <w:r>
        <w:rPr>
          <w:rFonts w:ascii="Arial" w:cs="Arial" w:eastAsia="Arial" w:hAnsi="Arial"/>
          <w:color w:val="2C2C2C"/>
          <w:sz w:val="22"/>
          <w:szCs w:val="22"/>
        </w:rPr>
        <w:t xml:space="preserve">Who made the change (user name and role)</w:t>
      </w:r>
    </w:p>
    <w:p>
      <w:pPr>
        <w:pStyle w:val="ListParagraph"/>
        <w:numPr>
          <w:ilvl w:val="0"/>
          <w:numId w:val="2"/>
        </w:numPr>
        <w:spacing w:before="40" w:after="40"/>
      </w:pPr>
      <w:r>
        <w:rPr>
          <w:rFonts w:ascii="Arial" w:cs="Arial" w:eastAsia="Arial" w:hAnsi="Arial"/>
          <w:color w:val="2C2C2C"/>
          <w:sz w:val="22"/>
          <w:szCs w:val="22"/>
        </w:rPr>
        <w:t xml:space="preserve">What was changed (old value vs. new value)</w:t>
      </w:r>
    </w:p>
    <w:p>
      <w:pPr>
        <w:pStyle w:val="ListParagraph"/>
        <w:numPr>
          <w:ilvl w:val="0"/>
          <w:numId w:val="2"/>
        </w:numPr>
        <w:spacing w:before="40" w:after="40"/>
      </w:pPr>
      <w:r>
        <w:rPr>
          <w:rFonts w:ascii="Arial" w:cs="Arial" w:eastAsia="Arial" w:hAnsi="Arial"/>
          <w:color w:val="2C2C2C"/>
          <w:sz w:val="22"/>
          <w:szCs w:val="22"/>
        </w:rPr>
        <w:t xml:space="preserve">When it was changed (date and timestamp)</w:t>
      </w:r>
    </w:p>
    <w:p>
      <w:pPr>
        <w:pStyle w:val="ListParagraph"/>
        <w:numPr>
          <w:ilvl w:val="0"/>
          <w:numId w:val="2"/>
        </w:numPr>
        <w:spacing w:before="40" w:after="40"/>
      </w:pPr>
      <w:r>
        <w:rPr>
          <w:rFonts w:ascii="Arial" w:cs="Arial" w:eastAsia="Arial" w:hAnsi="Arial"/>
          <w:color w:val="2C2C2C"/>
          <w:sz w:val="22"/>
          <w:szCs w:val="22"/>
        </w:rPr>
        <w:t xml:space="preserve">Which record was affected (invoice number, item, etc.)</w:t>
      </w:r>
    </w:p>
    <w:p>
      <w:pPr>
        <w:spacing w:before="80" w:after="0"/>
      </w:pPr>
      <w:r>
        <w:t xml:space="preserve"/>
      </w:r>
    </w:p>
    <w:p>
      <w:pPr>
        <w:spacing w:before="60" w:after="80"/>
      </w:pPr>
      <w:r>
        <w:rPr>
          <w:rFonts w:ascii="Arial" w:cs="Arial" w:eastAsia="Arial" w:hAnsi="Arial"/>
          <w:color w:val="2C2C2C"/>
          <w:sz w:val="22"/>
          <w:szCs w:val="22"/>
        </w:rPr>
        <w:t xml:space="preserve">Deletions are not permanent — they are marked as cancelled with a reason and remain visible in the audit trail. No silent deletions.</w:t>
      </w:r>
    </w:p>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Login and session audit is not mentioned — recording failed login attempts, session durations, and multi-device logins is a basic security requirement.</w:t>
      </w:r>
    </w:p>
    <w:p>
      <w:pPr>
        <w:pStyle w:val="Heading1"/>
        <w:pBdr>
          <w:bottom w:val="single" w:color="2E75B6" w:sz="8" w:space="4"/>
        </w:pBdr>
        <w:spacing w:before="400" w:after="160"/>
      </w:pPr>
      <w:r>
        <w:rPr>
          <w:rFonts w:ascii="Arial" w:cs="Arial" w:eastAsia="Arial" w:hAnsi="Arial"/>
          <w:b/>
          <w:bCs/>
          <w:color w:val="1F4E79"/>
          <w:sz w:val="32"/>
          <w:szCs w:val="32"/>
        </w:rPr>
        <w:t xml:space="preserve">10. System Settings</w:t>
      </w:r>
    </w:p>
    <w:p>
      <w:pPr>
        <w:spacing w:before="60" w:after="80"/>
      </w:pPr>
      <w:r>
        <w:rPr>
          <w:rFonts w:ascii="Arial" w:cs="Arial" w:eastAsia="Arial" w:hAnsi="Arial"/>
          <w:color w:val="2C2C2C"/>
          <w:sz w:val="22"/>
          <w:szCs w:val="22"/>
        </w:rPr>
        <w:t xml:space="preserve">Settings are configured by the Admin and apply system-wide, unless noted as outlet-specific.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Company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Global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 address, GSTIN, CIN, logo</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Outlet &amp; Warehouse Setup</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Global</w:t>
            </w:r>
          </w:p>
        </w:tc>
        <w:tc>
          <w:tcPr>
            <w:tcW w:type="dxa" w:w="4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Create, name, and link outlets to warehouses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Bank Details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 outlet or global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number, IFSC, bank name — printed on invoices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Financial Year</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Global</w:t>
            </w:r>
          </w:p>
        </w:tc>
        <w:tc>
          <w:tcPr>
            <w:tcW w:type="dxa" w:w="4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Start and end date; controls period-end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Invoice Number Series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 outlet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Prefix and starting number per outlet, per document type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GST Defaults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Global</w:t>
            </w:r>
          </w:p>
        </w:tc>
        <w:tc>
          <w:tcPr>
            <w:tcW w:type="dxa" w:w="4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Default GST % per product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Freight / Landed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Global toggle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Enable or disable freight capture on purchase bills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Rounding Rule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Global</w:t>
            </w:r>
          </w:p>
        </w:tc>
        <w:tc>
          <w:tcPr>
            <w:tcW w:type="dxa" w:w="4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Round to nearest rupee, or nearest 0.50,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Negative Stock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 outlet or global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Block / warn / allow when stock reaches zero</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Terms &amp; Conditions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Per outlet</w:t>
            </w:r>
          </w:p>
        </w:tc>
        <w:tc>
          <w:tcPr>
            <w:tcW w:type="dxa" w:w="4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Invoice footer text, configurable per outlet</w:t>
            </w:r>
          </w:p>
        </w:tc>
      </w:tr>
    </w:tbl>
    <w:p>
      <w:pPr>
        <w:spacing w:before="80" w:after="0"/>
      </w:pPr>
      <w:r>
        <w:t xml:space="preserve"/>
      </w:r>
    </w:p>
    <w:p>
      <w:pPr>
        <w:pBdr>
          <w:top w:val="none" w:color="FFFFFF" w:sz="0"/>
          <w:left w:val="single" w:color="C00000" w:sz="18" w:space="0"/>
          <w:bottom w:val="none" w:color="FFFFFF" w:sz="0"/>
          <w:right w:val="none" w:color="FFFFFF" w:sz="0"/>
        </w:pBdr>
        <w:shd w:fill="FDECEA" w:val="clear"/>
        <w:spacing w:before="100" w:after="100"/>
        <w:ind w:left="180" w:right="180"/>
      </w:pPr>
      <w:r>
        <w:rPr>
          <w:rFonts w:ascii="Arial" w:cs="Arial" w:eastAsia="Arial" w:hAnsi="Arial"/>
          <w:b w:val="false"/>
          <w:bCs w:val="false"/>
          <w:i/>
          <w:iCs/>
          <w:color w:val="C00000"/>
          <w:sz w:val="22"/>
          <w:szCs w:val="22"/>
        </w:rPr>
        <w:t xml:space="preserve">GAP: No mention of data backup configuration — schedule, destination, and recovery process must be defined.</w:t>
      </w:r>
    </w:p>
    <w:p>
      <w:pPr>
        <w:pStyle w:val="Heading1"/>
        <w:pBdr>
          <w:bottom w:val="single" w:color="2E75B6" w:sz="8" w:space="4"/>
        </w:pBdr>
        <w:spacing w:before="400" w:after="160"/>
      </w:pPr>
      <w:r>
        <w:rPr>
          <w:rFonts w:ascii="Arial" w:cs="Arial" w:eastAsia="Arial" w:hAnsi="Arial"/>
          <w:b/>
          <w:bCs/>
          <w:color w:val="1F4E79"/>
          <w:sz w:val="32"/>
          <w:szCs w:val="32"/>
        </w:rPr>
        <w:t xml:space="preserve">11. Open Decisions Required</w:t>
      </w:r>
    </w:p>
    <w:p>
      <w:pPr>
        <w:pBdr>
          <w:top w:val="single" w:color="FFC107" w:sz="4"/>
          <w:left w:val="single" w:color="FFC107" w:sz="18"/>
          <w:bottom w:val="single" w:color="FFC107" w:sz="4"/>
          <w:right w:val="single" w:color="FFC107" w:sz="4"/>
        </w:pBdr>
        <w:shd w:fill="FFF3CD" w:val="clear"/>
        <w:spacing w:before="160" w:after="160"/>
        <w:ind w:left="180" w:right="180"/>
      </w:pPr>
      <w:r>
        <w:rPr>
          <w:rFonts w:ascii="Arial" w:cs="Arial" w:eastAsia="Arial" w:hAnsi="Arial"/>
          <w:b/>
          <w:bCs/>
          <w:color w:val="7B5800"/>
          <w:sz w:val="22"/>
          <w:szCs w:val="22"/>
        </w:rPr>
        <w:t xml:space="preserve">⚠ These decisions must be made before development begins. Each one affects system design in ways that are difficult to change later.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3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Inventory valuation method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Moving Average vs. FIFO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Moving Average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Markup pricing base price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Last purchase price vs. moving average cost</w:t>
            </w:r>
          </w:p>
        </w:tc>
        <w:tc>
          <w:tcPr>
            <w:tcW w:type="dxa" w:w="3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Confirm with business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Should credit limit block billing?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Hard block / Warning only / No limit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Warning + Admin override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Freight GST rate (transport charges)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5% / Exempt / Varies by vendor</w:t>
            </w:r>
          </w:p>
        </w:tc>
        <w:tc>
          <w:tcPr>
            <w:tcW w:type="dxa" w:w="3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Confirm per vendor type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Freight distribution method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 line item value vs. by quantity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 value (standard practice)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In-transit stock tracking for transfers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Yes / No</w:t>
            </w:r>
          </w:p>
        </w:tc>
        <w:tc>
          <w:tcPr>
            <w:tcW w:type="dxa" w:w="3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Yes if inter-city transfers exist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E-invoicing (IRN)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(if turnover &gt; threshold) / Not yet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Scope as near-future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8</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Quotation / proforma to invoice conversion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Yes / No</w:t>
            </w:r>
          </w:p>
        </w:tc>
        <w:tc>
          <w:tcPr>
            <w:tcW w:type="dxa" w:w="3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Yes — very common in trade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Delivery challan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 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 standard in equipment trade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Price lists / customer-specific pricing?</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Yes / No</w:t>
            </w:r>
          </w:p>
        </w:tc>
        <w:tc>
          <w:tcPr>
            <w:tcW w:type="dxa" w:w="3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Confirm with business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Batch / lot tracking for any product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(now) / Yes (later) / 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Decide before build</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12</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Outlet-level GST registration (separate GSTINs)?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Yes / No</w:t>
            </w:r>
          </w:p>
        </w:tc>
        <w:tc>
          <w:tcPr>
            <w:tcW w:type="dxa" w:w="3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Confirm with CA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Per-outlet cash/bank accounts?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 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Confirm with accountant</w:t>
            </w:r>
          </w:p>
        </w:tc>
      </w:tr>
    </w:tbl>
    <w:p>
      <w:pPr>
        <w:pStyle w:val="Heading1"/>
        <w:pBdr>
          <w:bottom w:val="single" w:color="2E75B6" w:sz="8" w:space="4"/>
        </w:pBdr>
        <w:spacing w:before="400" w:after="160"/>
      </w:pPr>
      <w:r>
        <w:rPr>
          <w:rFonts w:ascii="Arial" w:cs="Arial" w:eastAsia="Arial" w:hAnsi="Arial"/>
          <w:b/>
          <w:bCs/>
          <w:color w:val="1F4E79"/>
          <w:sz w:val="32"/>
          <w:szCs w:val="32"/>
        </w:rP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SKU search must return results in under 1 second across 50,000+ items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Scalability</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System must handle 50,000+ SKUs and 5+ concurrent users without degradation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Secure login, role-based access, no data visible across unauthorized roles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Data Backup</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Automated daily backup; recovery process must be documented and tested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PDF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invoices and reports must export as clean, printable A4 PDFs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Data Export</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All reports must export to Excel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Cloud-hosted; target 99.5% uptime during business hours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Platform</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Desktop browser priority; mobile browser should be usable for basic lookups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audit trail for all creates, edits, deletions, and approvals</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2026-03-09T09:41:21.839Z</dcterms:created>
  <dcterms:modified xsi:type="dcterms:W3CDTF">2026-03-09T09:41:21.839Z</dcterms:modified>
</cp:coreProperties>
</file>

<file path=docProps/custom.xml><?xml version="1.0" encoding="utf-8"?>
<Properties xmlns="http://schemas.openxmlformats.org/officeDocument/2006/custom-properties" xmlns:vt="http://schemas.openxmlformats.org/officeDocument/2006/docPropsVTypes"/>
</file>