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 与 MID Server</w:t>
        <w:br/>
        <w:t>连接分配及大规模升级解决方案</w:t>
      </w:r>
    </w:p>
    <w:p>
      <w:r>
        <w:rPr>
          <w:b w:val="0"/>
          <w:sz w:val="20"/>
        </w:rPr>
        <w:t>中文版详细报告    2026年9月8日    对应课题55 56 57</w:t>
      </w:r>
    </w:p>
    <w:p>
      <w:r>
        <w:rPr>
          <w:b w:val="0"/>
        </w:rPr>
        <w:t>本报告在原调查报告基础上，进一步回答客户应选择什么方案、如何配置、如何验证，以及出现问题后如何处理。适用于 ACC 经 MID Server 连接 ServiceNow 的场景，不包含 MID-less 架构。</w:t>
      </w:r>
    </w:p>
    <w:p>
      <w:pPr>
        <w:pStyle w:val="Heading2"/>
      </w:pPr>
      <w:r>
        <w:t>建议客户采用的总体方向</w:t>
      </w:r>
    </w:p>
    <w:p>
      <w:r>
        <w:rPr>
          <w:b w:val="0"/>
        </w:rPr>
        <w:t>课题55：若统一负载均衡入口是确定要求，建议保留该入口，由负载均衡器分配连接，不承诺每台 ACC 永久固定到某台 MID；若必须按组限制连接范围，再选择分组入口或 Capability 限定候选 MID 的方案。</w:t>
      </w:r>
    </w:p>
    <w:p>
      <w:r>
        <w:rPr>
          <w:b w:val="0"/>
        </w:rPr>
        <w:t>课题56：按单台 MID 设置连接上限，同时预留故障接管容量。上限只是保护措施，必须结合实际采集负荷确定承载能力，不能只把默认值调大。</w:t>
      </w:r>
    </w:p>
    <w:p>
      <w:r>
        <w:rPr>
          <w:b w:val="0"/>
        </w:rPr>
        <w:t>课题57：先完成少量升级验证，再以定时作业限速推进；若要求严格按部门批准后分批，或使用 mTLS，则优先评估现有终端分发工具作为替代执行通道。</w:t>
      </w:r>
    </w:p>
    <w:p>
      <w:pPr>
        <w:pStyle w:val="Heading2"/>
      </w:pPr>
      <w:r>
        <w:t>本次补充的交付内容</w:t>
      </w:r>
    </w:p>
    <w:p>
      <w:r>
        <w:rPr>
          <w:b w:val="0"/>
        </w:rPr>
        <w:t>每个课题均包含推荐方案、选择条件、实施步骤、配置示例、验证标准和失败处理。新增内容包括分组与故障切换的取舍、容量估算方法、升级速率示例、暂停与恢复流程，以及客户与咨询方的职责分工。</w:t>
      </w:r>
    </w:p>
    <w:p>
      <w:pPr>
        <w:pStyle w:val="Heading2"/>
      </w:pPr>
      <w:r>
        <w:t>阅读和使用约定</w:t>
      </w:r>
    </w:p>
    <w:p>
      <w:r>
        <w:rPr>
          <w:b w:val="0"/>
        </w:rPr>
        <w:t>“官方依据”指已查阅的产品文档；“建议方案”是本报告提出的设计与运维建议，不等于厂商承诺；“需验证”均配有验证动作和暂行处理办法。参考资料以 Australia 文档为基准，客户实例及 ACC Framework 的实际版本尚未核实。</w:t>
      </w:r>
    </w:p>
    <w:p>
      <w:r>
        <w:rPr>
          <w:b w:val="0"/>
          <w:sz w:val="20"/>
        </w:rPr>
        <w:t>报告中的域名、台数、速率和阈值均为示例或待批准建议，不是客户已批准配置。本次未登录客户实例、未执行变更，也未完成30万台压力测试。原中文版文件保留，本文件用于方案评审。</w:t>
      </w:r>
    </w:p>
    <w:p>
      <w:pPr>
        <w:pStyle w:val="Heading1"/>
        <w:pageBreakBefore/>
      </w:pPr>
      <w:r>
        <w:t>1 课题55 连接分配方案如何选择</w:t>
      </w:r>
    </w:p>
    <w:p>
      <w:pPr>
        <w:pStyle w:val="Heading2"/>
      </w:pPr>
      <w:r>
        <w:t>1.1 先把客户的要求分清楚</w:t>
      </w:r>
    </w:p>
    <w:p>
      <w:r>
        <w:rPr>
          <w:b w:val="0"/>
        </w:rPr>
        <w:t>“知道 ACC 当前连到哪台 MID”“让某组设备只连接指定的一组 MID”“永久绑定唯一一台 MID”，是三个不同要求。建议默认解决前两个，只有明确的隔离或运维需要时才选择第三个，因为永久绑定单台会牺牲故障切换能力。</w:t>
      </w:r>
    </w:p>
    <w:p>
      <w:r>
        <w:rPr>
          <w:b w:val="0"/>
        </w:rPr>
        <w:t>官方依据：负载均衡方案将 ACC 指向统一地址并关闭自动 MID 选择；自动 MID 选择本身则侧重故障切换，并不是真正的负载均衡。[S1][S2]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880"/>
        <w:gridCol w:w="496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适合的客户要求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结果和主要代价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55A 统一 LB 入口</w:t>
              <w:br/>
              <w:t>当前优先候选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入口统一，故障后可重连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由 LB 分配后端；不保证固定 MID 或各占50%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55B 固定 MID 地址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必须固定到唯一一台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ACC 分组配置直接地址；单台故障须人工或另行设计切换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55C Capability 候选组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不强制经过 LB，希望限定候选范围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利用标准候选筛选及自动选择；需要可达的备用 MID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55D 分组 LB 入口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必须经 LB，同时希望组间分开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按入口及后端池做网络设计；资源和运维成本增加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1.2 两台 MID 可以做到什么</w:t>
      </w:r>
    </w:p>
    <w:p>
      <w:r>
        <w:rPr>
          <w:b w:val="0"/>
        </w:rPr>
        <w:t>建议先将 MID01、MID02 放入一个服务池，验证正常连接和单台故障恢复。两台共同服务全部设备时，可优先考虑55A；采用55C时，两台需属于同一可达候选组。</w:t>
      </w:r>
    </w:p>
    <w:p>
      <w:r>
        <w:rPr>
          <w:b w:val="0"/>
        </w:rPr>
        <w:t>如果 A组只能连 MID01、B组只能连 MID02，两台各自成为单点。若要求两组互不混用且每组都有备用，可评估每组至少两台 MID 的构成；这是架构建议，不是本次已批准的扩容数量。</w:t>
      </w:r>
    </w:p>
    <w:p>
      <w:pPr>
        <w:pStyle w:val="Heading2"/>
      </w:pPr>
      <w:r>
        <w:t>1.3 建议提交客户批准的选择</w:t>
      </w:r>
    </w:p>
    <w:p>
      <w:r>
        <w:rPr>
          <w:b w:val="0"/>
        </w:rPr>
        <w:t>默认选择55A，不追加逐台固定需求；确需分组时，确认 LB 是否为强制条件：是则评估55D，否则评估55C。55B仅用于明确接受人工恢复的场景。不能只开启“源IP保持”便声称完成逐台固定分配，它不等同于业务分组规则。</w:t>
      </w:r>
    </w:p>
    <w:p>
      <w:pPr>
        <w:pStyle w:val="Heading1"/>
        <w:pageBreakBefore/>
      </w:pPr>
      <w:r>
        <w:t>1 课题55 统一负载均衡入口的落地步骤</w:t>
      </w:r>
    </w:p>
    <w:p>
      <w:pPr>
        <w:pStyle w:val="Heading2"/>
      </w:pPr>
      <w:r>
        <w:t>1.4 推荐方案55A的连接方式</w:t>
      </w:r>
    </w:p>
    <w:p>
      <w:r>
        <w:rPr>
          <w:b w:val="0"/>
        </w:rPr>
        <w:t>ACC 设备 → LB 统一入口 → MID01 或 MID02 → ServiceNow</w:t>
        <w:br/>
        <w:t>例：acc-lb.example.com:443；示例域名必须替换为客户实际域名。</w:t>
      </w:r>
    </w:p>
    <w:p>
      <w:r>
        <w:rPr>
          <w:b w:val="0"/>
        </w:rPr>
        <w:t>1. 建立基线。登记两台 MID 的名称、IP、ACC 监听端口、版本、服务状态和当前连接数。先证明每台 MID 单独可接收试验 ACC，避免同时排查 MID 和 LB 两层问题。</w:t>
      </w:r>
    </w:p>
    <w:p>
      <w:r>
        <w:rPr>
          <w:b w:val="0"/>
        </w:rPr>
        <w:t>2. 由网络担当建立入口和后端池。仅允许批准的设备网段访问 ACC 端口，后端加入 MID01、MID02。依据官方示例配置健康检查位置及超时；官方 LB 示例为 HTTPS 443 和300秒空闲超时。[S1]</w:t>
      </w:r>
    </w:p>
    <w:p>
      <w:r>
        <w:rPr>
          <w:b w:val="0"/>
        </w:rPr>
        <w:t>3. 核对证书。由安全担当确认入口名称、证书名称及信任链。若 TLS 直接透传至 MID，两台后端都要满足客户端对入口域名的证书验证；不以关闭证书校验作为解决办法。</w:t>
      </w:r>
    </w:p>
    <w:p>
      <w:r>
        <w:rPr>
          <w:b w:val="0"/>
        </w:rPr>
        <w:t>4. 备份一台试验端末的 acc.yml，只修改以下连接设置，保留原 API Key、证书路径及其他配置。受控重启该端末 ACC，观察其在线状态及采集结果。</w:t>
      </w:r>
    </w:p>
    <w:p>
      <w:r>
        <w:rPr>
          <w:b w:val="0"/>
        </w:rPr>
        <w:t>5. 完成停一台 MID、恢复 MID、ACC 重启及跨维护窗口测试后，再按小组推进配置变更；记录设备、变更前后入口及实际接入 MID。</w:t>
      </w:r>
    </w:p>
    <w:p>
      <w:r>
        <w:rPr>
          <w:b/>
        </w:rPr>
        <w:t>acc.yml 局部配置示例</w:t>
      </w:r>
    </w:p>
    <w:p>
      <w:r>
        <w:rPr>
          <w:b w:val="0"/>
          <w:sz w:val="20"/>
        </w:rPr>
        <w:t>backend-url:</w:t>
        <w:br/>
        <w:t xml:space="preserve">  - wss://acc-lb.example.com:443/ws/events</w:t>
        <w:br/>
        <w:t>enable-auto-mid-selection: false</w:t>
      </w:r>
    </w:p>
    <w:p>
      <w:r>
        <w:rPr>
          <w:b w:val="0"/>
        </w:rPr>
        <w:t>注意：这是局部示例，不是完整配置文件。不要直接覆盖整个 acc.yml，也不要把 API Key 写入报告、工单附件或 Git 仓库。</w:t>
      </w:r>
    </w:p>
    <w:p>
      <w:pPr>
        <w:pStyle w:val="Heading2"/>
      </w:pPr>
      <w:r>
        <w:t>1.5 Azure实施时的区别</w:t>
      </w:r>
    </w:p>
    <w:p>
      <w:r>
        <w:rPr>
          <w:b w:val="0"/>
        </w:rPr>
        <w:t>Azure Load Balancer 是四层产品，不负责 TLS 终止或按 URL 路径选后端，因此 Azure 规则按 TCP 端口配置，不能直接照抄其他产品的“HTTPS监听器”界面。官方通用示例需由网络担当转换为实际产品配置并验证。[S17]</w:t>
      </w:r>
    </w:p>
    <w:p>
      <w:r>
        <w:rPr>
          <w:b w:val="0"/>
        </w:rPr>
        <w:t>健康检查正常只表示被检查的服务可响应，不代表还有足够 ACC 连接容量。还需分别验证 WSS 数据通路和升级包下载通路；“ACC在线”不等于“升级材料一定可下载”。若失败，先还原该批端末的原连接配置，不扩大变更范围。</w:t>
      </w:r>
    </w:p>
    <w:p>
      <w:pPr>
        <w:pStyle w:val="Heading1"/>
        <w:pageBreakBefore/>
      </w:pPr>
      <w:r>
        <w:t>1 课题55 分组方案及验收方法</w:t>
      </w:r>
    </w:p>
    <w:p>
      <w:pPr>
        <w:pStyle w:val="Heading2"/>
      </w:pPr>
      <w:r>
        <w:t>1.6 方案55C用 Capability 限定候选 MID</w:t>
      </w:r>
    </w:p>
    <w:p>
      <w:r>
        <w:rPr>
          <w:b w:val="0"/>
        </w:rPr>
        <w:t>官方依据：ACC 可根据标记为 Is ACC Capability=true 的 MID 能力筛选自动选择候选。官方例子让 A 与 C 拥有相同 ACC 能力，B不同，代理以 A 接入后可将 C 作为候选。[S14][S15]</w:t>
      </w:r>
    </w:p>
    <w:p>
      <w:r>
        <w:rPr>
          <w:b w:val="0"/>
        </w:rPr>
        <w:t>1. 编制“设备组—主 MID—备用 MID—可达网段”清单。先用一组和两台 MID 验证，不同时改变全网能力配置。Capability 是功能筛选，不替代防火墙隔离。</w:t>
      </w:r>
    </w:p>
    <w:p>
      <w:r>
        <w:rPr>
          <w:b w:val="0"/>
        </w:rPr>
        <w:t>2. 在 MID Server &gt; Capabilities 核对 AgentClientCollector 及所需能力的 Is ACC Capability 设置；在各 MID 的 Default View &gt; Capabilities 关联能力。组内候选应匹配，组外候选应按设计排除。[S14][S15]</w:t>
      </w:r>
    </w:p>
    <w:p>
      <w:r>
        <w:rPr>
          <w:b w:val="0"/>
        </w:rPr>
        <w:t>3. 在受控范围开启自动 MID 选择：核对实例 sn_agent.enable_auto_mid_selection 及客户端实际配置，按当前版本启用；设备初始连接到本组 MID，运行 MID Server Selection 作业，检查候选结果。</w:t>
      </w:r>
    </w:p>
    <w:p>
      <w:r>
        <w:rPr>
          <w:b w:val="0"/>
        </w:rPr>
        <w:t>4. 模拟主 MID 不可用，确认改连本组备用 MID，不进入排除的组。组间筛选或接管失败时，先恢复原能力和连接配置，再缩小到单组排查。</w:t>
      </w:r>
    </w:p>
    <w:p>
      <w:r>
        <w:rPr>
          <w:b w:val="0"/>
        </w:rPr>
        <w:t>配置注意：部分官方页面把客户端自动选择键写为下划线形式，而 LB 页面使用 enable-auto-mid-selection。不要同时写两个键；以当前安装包 acc.yml 和该版本配置参考核对，验证实际开关行为后再推广。[S1][S16]</w:t>
      </w:r>
    </w:p>
    <w:p>
      <w:pPr>
        <w:pStyle w:val="Heading2"/>
      </w:pPr>
      <w:r>
        <w:t>1.7 方案55D保留 LB 并分组</w:t>
      </w:r>
    </w:p>
    <w:p>
      <w:r>
        <w:rPr>
          <w:b w:val="0"/>
        </w:rPr>
        <w:t>建议由网络担当为不同组设计独立前端IP或独立入口及后端池，分别配置各组 ACC 的入口地址。不是只给同一个IP增加两个DNS名称；四层 LB 不会据此识别设备组。每个池若只有一台 MID，就不具备池内备用能力。此方案为网络设计候选，需对所用 LB 产品验证。</w:t>
      </w:r>
    </w:p>
    <w:p>
      <w:pPr>
        <w:pStyle w:val="Heading2"/>
      </w:pPr>
      <w:r>
        <w:t>1.8 课题55完成条件</w:t>
      </w:r>
    </w:p>
    <w:p>
      <w:r>
        <w:rPr>
          <w:b w:val="0"/>
        </w:rPr>
        <w:t>保存四组证据：正常接入时的设备与 MID 对应；ACC 重启后的连接结果；主 MID 故障到数据恢复的耗时；恢复主 MID 后的稳定性。分组方案另外证明设备未连到组外 MID。</w:t>
      </w:r>
    </w:p>
    <w:p>
      <w:r>
        <w:rPr>
          <w:b w:val="0"/>
        </w:rPr>
        <w:t>建议验收要求：全部试验端末恢复在线，正常采集恢复，无持续重连或越组接入；恢复时间采用客户认可的上限。未达到要求时，回到原可用入口并保留日志，不把“LB健康”或“候选列表正确”单独作为验收通过。</w:t>
      </w:r>
    </w:p>
    <w:p>
      <w:pPr>
        <w:pStyle w:val="Heading1"/>
        <w:pageBreakBefore/>
      </w:pPr>
      <w:r>
        <w:t>2 课题56 分别设置 MID 连接上限</w:t>
      </w:r>
    </w:p>
    <w:p>
      <w:pPr>
        <w:pStyle w:val="Heading2"/>
      </w:pPr>
      <w:r>
        <w:t>2.1 推荐方案和属性作用</w:t>
      </w:r>
    </w:p>
    <w:p>
      <w:r>
        <w:rPr>
          <w:b w:val="0"/>
        </w:rPr>
        <w:t>官方依据：sn_agent.mid.max_allowed_agents 控制单台 MID 的 ACC 连接上限，文档默认4000；MID Server 属性可指定单台，留空则对全部 MID 生效。[S4][S5]</w:t>
      </w:r>
    </w:p>
    <w:p>
      <w:r>
        <w:rPr>
          <w:b w:val="0"/>
        </w:rPr>
        <w:t>建议采用“单台属性记录＋容量预警＋备用容量”的做法。优先对试验 MID 单独配置，不先修改全局值。不要在 MID 本地 glide.properties 中手工写入这一设置，以免升级覆盖或形成不同配置来源。[S5]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680"/>
        <w:gridCol w:w="331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配置位置或字段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填写示例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入口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MID Server &gt; Properties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对应 ecc_agent_property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sn_agent.mid.max_allowed_agents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ACC连接上限属性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Value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仅为演示值，生产值需容量验证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MID Server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MID01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仅作用于指定 MID；不要误留空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2.2 具体实施步骤</w:t>
      </w:r>
    </w:p>
    <w:p>
      <w:r>
        <w:rPr>
          <w:b w:val="0"/>
        </w:rPr>
        <w:t>1. 以具备 admin 权限的账号检索同名属性，登记全局记录和各 MID 记录的现值。发现同一范围存在重复记录时先查明并整理，不继续新增冲突配置。</w:t>
      </w:r>
    </w:p>
    <w:p>
      <w:r>
        <w:rPr>
          <w:b w:val="0"/>
        </w:rPr>
        <w:t>2. 在隔离试验中为 MID01 设置小上限，例如2；MID02设为另一个测试值，例如3。保存截图及变更前配置，这些值不得直接用于生产。</w:t>
      </w:r>
    </w:p>
    <w:p>
      <w:r>
        <w:rPr>
          <w:b w:val="0"/>
        </w:rPr>
        <w:t>3. 按官方属性流程重启受影响的 MID 使设置同步。逐台进行，确认一台恢复 Up、Validated 后再处理下一台；生产变更需事先保证备用容量。[S5]</w:t>
      </w:r>
    </w:p>
    <w:p>
      <w:r>
        <w:rPr>
          <w:b w:val="0"/>
        </w:rPr>
        <w:t>4. 按下一页测试用例检查限制效果。通过后恢复测试前设置，再依据容量试验结论填写生产值；配置失败时恢复原属性值并逐台重启复核。</w:t>
      </w:r>
    </w:p>
    <w:p>
      <w:pPr>
        <w:pStyle w:val="Heading2"/>
      </w:pPr>
      <w:r>
        <w:t>2.3 应交给客户的结果</w:t>
      </w:r>
    </w:p>
    <w:p>
      <w:r>
        <w:rPr>
          <w:b w:val="0"/>
        </w:rPr>
        <w:t>交付每台 MID 的批准上限、实际稳定承载值、告警值、故障接管对象、配置截图和限额测试日志。只交一张属性截图不足以证明满载时系统能继续运行。</w:t>
      </w:r>
    </w:p>
    <w:p>
      <w:pPr>
        <w:pStyle w:val="Heading1"/>
        <w:pageBreakBefore/>
      </w:pPr>
      <w:r>
        <w:t>2 课题56 容量设计和满载处理</w:t>
      </w:r>
    </w:p>
    <w:p>
      <w:pPr>
        <w:pStyle w:val="Heading2"/>
      </w:pPr>
      <w:r>
        <w:t>2.4 连接上限不等于可用容量</w:t>
      </w:r>
    </w:p>
    <w:p>
      <w:r>
        <w:rPr>
          <w:b w:val="0"/>
        </w:rPr>
        <w:t>建议将可用容量定义为“配置上限”和“代表性负荷下实测稳定容量”两者中较小的值。负荷样本需包括实际启用的 Checks、采集频率、数据量和升级下载，不只统计连接成功数量。</w:t>
      </w:r>
    </w:p>
    <w:p>
      <w:r>
        <w:rPr>
          <w:b w:val="0"/>
        </w:rPr>
        <w:t>两台互为备用时，应检查失去任意一台后，剩余 MID 是否仍能接管全部必要连接。例如，两台各已验证可承载1000台，在不计额外余量时，总接入量最多1000台才可能满足单台故障后的接管，而不是2000台。该例是容量计算，不是性能认证。</w:t>
      </w:r>
    </w:p>
    <w:p>
      <w:r>
        <w:rPr>
          <w:b w:val="0"/>
        </w:rPr>
        <w:t>对多个 MID 的池，建议以“全部可用容量之和，减去最大一台容量，再扣除运行余量”作为单台故障情况下的规划参考；还要检查网络可达性和重连高峰。无法满足时，应扩容或降低接入量，而不是仅提高属性值。</w:t>
      </w:r>
    </w:p>
    <w:p>
      <w:pPr>
        <w:pStyle w:val="Heading2"/>
      </w:pPr>
      <w:r>
        <w:t>2.5 用小规模证明限制确实有效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816"/>
        <w:gridCol w:w="446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测试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执行动作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要证明的结果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分别设限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MID01上限2，MID02上限3，逐个接入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配置作用范围正确，两台分别生效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达到上限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MID01接满后，让另一试验ACC接入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记录接受或拒绝、日志及重试行为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LB 满载场景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一台满载、另一台有空位时重连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实际能否转接；不能用健康检查代替证明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降低上限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仅在试验环境降低已有连接的上限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记录现有连接是否保留及新增连接行为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故障与恢复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停一台、恢复、再观察至少一个采集周期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数据恢复、无持续重连和积压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2.6 到达预警值后怎么处理</w:t>
      </w:r>
    </w:p>
    <w:p>
      <w:r>
        <w:rPr>
          <w:b w:val="0"/>
        </w:rPr>
        <w:t>建议初期在已批准可用容量的80%设置预警，并与CPU、内存及采集延迟一同判断；80%是本报告建议，不是官方默认。预警后先暂停新设备接入和提速，再确认健康的备用 MID 是否有空间。</w:t>
      </w:r>
    </w:p>
    <w:p>
      <w:r>
        <w:rPr>
          <w:b w:val="0"/>
        </w:rPr>
        <w:t>自动选择方案可在满足前提后使用 Try redistributing connected agents，并核对连接数变化；它只是尝试重分配，不保证迁走指定台数。[S16] LB方案关闭自动选择时，不依赖此操作：应由网络及端末担当按批准的摘流和小批重连方案验证迁移，不能强行同时重启全部 ACC。</w:t>
      </w:r>
    </w:p>
    <w:p>
      <w:pPr>
        <w:pStyle w:val="Heading1"/>
        <w:pageBreakBefore/>
      </w:pPr>
      <w:r>
        <w:t>3 课题57 约30万台升级的方案选择</w:t>
      </w:r>
    </w:p>
    <w:p>
      <w:pPr>
        <w:pStyle w:val="Heading2"/>
      </w:pPr>
      <w:r>
        <w:t>3.1 推荐方案和适用边界</w:t>
      </w:r>
    </w:p>
    <w:p>
      <w:r>
        <w:rPr>
          <w:b w:val="0"/>
        </w:rPr>
        <w:t>推荐主方案：在版本兼容、升级权限、下载通路均满足，且不使用 ACC到MID 的 mTLS 时，先小样本验证，再使用 ServiceNow 标准定时作业限速升级。[S6][S8]</w:t>
      </w:r>
    </w:p>
    <w:p>
      <w:r>
        <w:rPr>
          <w:b w:val="0"/>
        </w:rPr>
        <w:t>关键区别：标准大规模升级处理符合条件的代理。限速控制的是推进速度，不等于只处理指定部门；不能把页面列表筛选条件或 Application scope 当成业务批次边界。若客户要求“只升级A部门，批准前绝不触及B部门”，应选能明确指定目标集合的方案。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240"/>
        <w:gridCol w:w="446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执行方案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适用条件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实施建议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ServiceNow 定时升级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可允许合格设备逐步进入升级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主方案；先试验，再按速率及维护时间推进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选择性升级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少量试验或故障设备补救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按明确选中的设备执行，不用于人工点完30万台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现有终端分发工具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必须严格按设备组推进；或mTLS等限制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替代候选；验证目标版本的升级包、检测与配置保留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3.2 mTLS 场景的实际建议</w:t>
      </w:r>
    </w:p>
    <w:p>
      <w:r>
        <w:rPr>
          <w:b w:val="0"/>
        </w:rPr>
        <w:t>官方明确说明 ACC 与 MID 通过 mTLS 通信时，不支持所述高数量升级方式。[S6] 因此建议保持既有安全要求，评估由已批准的终端管理工具执行本地升级，而不是为升级临时关闭 mTLS。该替代通道仍需验证特定ACC版本及证书配置的保留情况。</w:t>
      </w:r>
    </w:p>
    <w:p>
      <w:pPr>
        <w:pStyle w:val="Heading2"/>
      </w:pPr>
      <w:r>
        <w:t>3.3 不能凭两台 MID 推导30万台方案</w:t>
      </w:r>
    </w:p>
    <w:p>
      <w:r>
        <w:rPr>
          <w:b w:val="0"/>
        </w:rPr>
        <w:t>课题55的“两台 MID”可用于连接逻辑试验，不代表30万台已获容量保障。大规模方案需单独收集各 MID 的连接量、规格、地区、实际吞吐和故障余量，形成容量台账后再确定需要多少台及升级多久。</w:t>
      </w:r>
    </w:p>
    <w:p>
      <w:r>
        <w:rPr>
          <w:b w:val="0"/>
        </w:rPr>
        <w:t>建议把“先完成一组验证”和“批准30万台投产”设为两个决策点。对无法通过现场试验覆盖的容量与支持边界，由咨询方整理证据提交 ServiceNow 支持确认，客户据此决定扩容和批次，而不是只转交一个泛泛问题。</w:t>
      </w:r>
    </w:p>
    <w:p>
      <w:pPr>
        <w:pStyle w:val="Heading1"/>
        <w:pageBreakBefore/>
      </w:pPr>
      <w:r>
        <w:t>3 课题57 标准定时升级的配置步骤</w:t>
      </w:r>
    </w:p>
    <w:p>
      <w:pPr>
        <w:pStyle w:val="Heading2"/>
      </w:pPr>
      <w:r>
        <w:t>3.4 升级前先固定范围和版本</w:t>
      </w:r>
    </w:p>
    <w:p>
      <w:r>
        <w:rPr>
          <w:b w:val="0"/>
        </w:rPr>
        <w:t>1. 导出代理基线：唯一标识、主机名、OS、当前版本、MID、在线状态及客户组别。将“符合升级条件”“已到目标版本”“离线或其他例外”分别统计，三类数量与总台数核对。</w:t>
      </w:r>
    </w:p>
    <w:p>
      <w:r>
        <w:rPr>
          <w:b w:val="0"/>
        </w:rPr>
        <w:t>2. 确认实例版本、ACC Framework版本、目标代理版本及支持平台；检查实际执行账号、磁盘空间和软件限制策略。不得把新安装成功直接当成原版本可无损升级的证明。[S6][S12]</w:t>
      </w:r>
    </w:p>
    <w:p>
      <w:r>
        <w:rPr>
          <w:b w:val="0"/>
        </w:rPr>
        <w:t>3. 从实际端末验证升级包下载，确认包来源、签名或校验及证书信任。官方描述MID连接的代理可从MID下载；Install Server回退需要相应检查配置，并不是天然打开。[S6]</w:t>
      </w:r>
    </w:p>
    <w:p>
      <w:r>
        <w:rPr>
          <w:b w:val="0"/>
        </w:rPr>
        <w:t>4. 备份升级属性、定时作业设置和试验端末配置，确认恢复联系人及维护窗口。备份中的密钥和证书私钥仅保存在受控位置。</w:t>
      </w:r>
    </w:p>
    <w:p>
      <w:pPr>
        <w:pStyle w:val="Heading2"/>
      </w:pPr>
      <w:r>
        <w:t>3.5 设置属性并执行少量验证</w:t>
      </w:r>
    </w:p>
    <w:p>
      <w:r>
        <w:rPr>
          <w:b w:val="0"/>
        </w:rPr>
        <w:t>入口：System Properties &gt; All Properties。核对 sn_agent.auto_upgrade.enabled，在试验准备完成后启用升级功能；用 sn_agent.agent_upgrade_version 指定批准的目标版本，不使用 sn_agent.agent_version 代替。[S10]</w:t>
      </w:r>
    </w:p>
    <w:p>
      <w:r>
        <w:rPr>
          <w:b w:val="0"/>
        </w:rPr>
        <w:t>先保持批量作业未启用，选择1台验证，再扩到5至10台覆盖实际OS组合。核对版本、ACC服务、连接MID以及采集恢复。概览页50台与另一操作页20台的选择上限有差异，本方案不依赖该最大值。[S6][S7]</w:t>
      </w:r>
    </w:p>
    <w:p>
      <w:pPr>
        <w:pStyle w:val="Heading2"/>
      </w:pPr>
      <w:r>
        <w:t>3.6 开启定时批量执行</w:t>
      </w:r>
    </w:p>
    <w:p>
      <w:r>
        <w:rPr>
          <w:b w:val="0"/>
        </w:rPr>
        <w:t>1. 试验通过并获批准后，设定全局及单MID的每次升级限额，建议从下一页的小速率示例起步。确认没有其他人同时运行立即升级脚本。</w:t>
      </w:r>
    </w:p>
    <w:p>
      <w:r>
        <w:rPr>
          <w:b w:val="0"/>
        </w:rPr>
        <w:t>2. 进入 System Definition &gt; Scheduled Jobs，打开 Upgrade agents incrementally，先核对 Run 频率、维护时间和实例时区，再设 Active=true 并保存。[S8]</w:t>
      </w:r>
    </w:p>
    <w:p>
      <w:r>
        <w:rPr>
          <w:b w:val="0"/>
        </w:rPr>
        <w:t>3. 默认每小时运行。记录第一次及第二次作业实际处理的设备和数量，确认运行频率与限额一致。若无法用现有作业设置表达客户维护窗口，应先由平台担当验证排程，不直接启用全天运行。</w:t>
      </w:r>
    </w:p>
    <w:p>
      <w:r>
        <w:rPr>
          <w:b w:val="0"/>
        </w:rPr>
        <w:t>Background Script 可立即触发，但仍有限速，建议仅作受控补充，不作为日常30万台发布的主要操作方式。[S9]</w:t>
      </w:r>
    </w:p>
    <w:p>
      <w:pPr>
        <w:pStyle w:val="Heading1"/>
        <w:pageBreakBefore/>
      </w:pPr>
      <w:r>
        <w:t>3 课题57 分批节奏和时间估算</w:t>
      </w:r>
    </w:p>
    <w:p>
      <w:pPr>
        <w:pStyle w:val="Heading2"/>
      </w:pPr>
      <w:r>
        <w:t>3.7 两个限制控制不同范围</w:t>
      </w:r>
    </w:p>
    <w:p>
      <w:r>
        <w:rPr>
          <w:b w:val="0"/>
        </w:rPr>
        <w:t>官方专门属性页记载：全局每次作业上限默认1000，单 MID 每次作业上限默认50。属性名称含 per_hour，但页面描述按每次作业计算；只有每小时运行一次时，才可换算成每小时数量。旧页存在不同默认值，必须核对客户实例。[S10][S13]</w:t>
      </w:r>
    </w:p>
    <w:p>
      <w:r>
        <w:rPr>
          <w:b w:val="0"/>
          <w:sz w:val="20"/>
        </w:rPr>
        <w:t>完整属性名：</w:t>
        <w:br/>
        <w:t>sn_agent.auto_upgrade.max_upgrades_per_hour</w:t>
        <w:br/>
        <w:t>sn_agent.auto_upgrade.max_upgrades_per_handler_per_hour</w:t>
      </w:r>
    </w:p>
    <w:p>
      <w:pPr>
        <w:pStyle w:val="Heading2"/>
      </w:pPr>
      <w:r>
        <w:t>3.8 建议的放量阶梯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456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数量或速率示例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单台及样本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1台，然后5至10台选择性升级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全部样本通过版本、连接和采集检查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首次批量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每次全局100，单MID10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至少观察2次作业及正常采集周期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扩大批量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每次全局500，单MID25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连续2个观察批次达标，无负荷告警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稳定推进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每次全局1000，单MID50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容量允许且客户批准；每天复核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以上是咨询方提出的试行阶梯，不是官方推荐固定速率。批量阶段的“100台”是数量限制，不代表指定某100台；如必须精确控制名单，请采用第3.11节的替代方案。</w:t>
      </w:r>
    </w:p>
    <w:p>
      <w:pPr>
        <w:pStyle w:val="Heading2"/>
      </w:pPr>
      <w:r>
        <w:t>3.9 如何计算而不误报工期</w:t>
      </w:r>
    </w:p>
    <w:p>
      <w:r>
        <w:rPr>
          <w:b w:val="0"/>
        </w:rPr>
        <w:t>每次可启动数量的上界，可按“全局限额”和“各MID可处理数量合计”中的较小值估算。还需扣除离线、失败、带宽、作业耗时及实例负荷影响；此计算不是并发数，也不是成功完成数。</w:t>
      </w:r>
    </w:p>
    <w:p>
      <w:r>
        <w:rPr>
          <w:b w:val="0"/>
        </w:rPr>
        <w:t>示例：仅两台 MID、每台每次50且每小时执行一次，理论上界为100台/小时，30万台约需3000小时，即连续125天。此处仅展示速率瓶颈，绝不是两台可承载30万台的架构方案。</w:t>
      </w:r>
    </w:p>
    <w:p>
      <w:r>
        <w:rPr>
          <w:b w:val="0"/>
        </w:rPr>
        <w:t>若有至少20台分布合适且容量足够的MID，可达到1000台/小时的限额上界：30万台需300小时，即连续12.5天；每天只运行8小时，至少需要38个运行日，另加准备、暂停与补救时间。最终计划用试验实测速率重算，不能把20台当作生产容量结论。</w:t>
      </w:r>
    </w:p>
    <w:p>
      <w:pPr>
        <w:pStyle w:val="Heading1"/>
        <w:pageBreakBefore/>
      </w:pPr>
      <w:r>
        <w:t>3 课题57 异常处理和恢复规则</w:t>
      </w:r>
    </w:p>
    <w:p>
      <w:pPr>
        <w:pStyle w:val="Heading2"/>
      </w:pPr>
      <w:r>
        <w:t>3.10 建议预先批准的停止条件</w:t>
      </w:r>
    </w:p>
    <w:p>
      <w:r>
        <w:rPr>
          <w:b w:val="0"/>
        </w:rPr>
        <w:t>以下为项目验收阈值建议，不是厂商保证：小样本出现任一未解释失败即停止放量；批量阶段出现安全或业务影响立即停止；同一批次失败率超过1%，或MID负荷超过已批准告警值持续15分钟，也暂停下一批。客户应根据业务要求批准或收紧这些阈值。</w:t>
      </w:r>
    </w:p>
    <w:p>
      <w:r>
        <w:rPr>
          <w:b w:val="0"/>
        </w:rPr>
        <w:t>批次成功率以同一观察批次内已进入最终结果的设备统计，同时单列进行中、超时、离线和未开始设备；不能把进行中排除后只展示一个好看的百分比。每批以明确设备清单和执行时间段留存证据。</w:t>
      </w:r>
    </w:p>
    <w:p>
      <w:pPr>
        <w:pStyle w:val="Heading2"/>
      </w:pPr>
      <w:r>
        <w:t>暂停后按此顺序处理</w:t>
      </w:r>
    </w:p>
    <w:p>
      <w:r>
        <w:rPr>
          <w:b w:val="0"/>
        </w:rPr>
        <w:t>1. 停止继续下发：关闭 Upgrade agents incrementally 的 Active，并禁止新的手工批量触发；如采用外部工具，暂停后续集合部署。此动作不等于取消已经发出的任务，必须另外跟踪在途设备。</w:t>
      </w:r>
    </w:p>
    <w:p>
      <w:r>
        <w:rPr>
          <w:b w:val="0"/>
        </w:rPr>
        <w:t>2. 保存现场：导出失败设备、当前版本和 Agent Upgrade Histories，并保存对应端末与MID日志、发生时间和属性快照。不要先删代理、CI或升级历史。</w:t>
      </w:r>
    </w:p>
    <w:p>
      <w:r>
        <w:rPr>
          <w:b w:val="0"/>
        </w:rPr>
        <w:t>3. 按失败阶段定位：InstanceVerification检查资格与MID状态；AgentVerification检查权限、空间和依赖；Upgrade阶段检查下载、安装日志及服务启动。[S6]</w:t>
      </w:r>
    </w:p>
    <w:p>
      <w:r>
        <w:rPr>
          <w:b w:val="0"/>
        </w:rPr>
        <w:t>4. 先修复一台验证。证书或下载失败由网络和安全担当处理；权限或安装失败由端末担当处理；实例或MID积压由平台担当处理。确认原因后再对同类设备处置。</w:t>
      </w:r>
    </w:p>
    <w:p>
      <w:pPr>
        <w:pStyle w:val="Heading2"/>
      </w:pPr>
      <w:r>
        <w:t>重试和版本恢复不是同一件事</w:t>
      </w:r>
    </w:p>
    <w:p>
      <w:r>
        <w:rPr>
          <w:b w:val="0"/>
        </w:rPr>
        <w:t>官方提供失败次数限制及重置入口。[S6][S10] 建议仅在根因消除、单台补救验证成功后，对批准设备执行 Reset failed upgrade attempts 并选择性重试，不批量清零掩盖持续失败。</w:t>
      </w:r>
    </w:p>
    <w:p>
      <w:r>
        <w:rPr>
          <w:b w:val="0"/>
        </w:rPr>
        <w:t>本次未确认通用于所有版本的自动降级功能，不承诺“一键回滚”。优先尝试修复服务或恢复被错误修改的配置；需要退回旧版本时，必须先确认厂商允许的降级或重装路径，并在代表性设备测试配置、证书和代理标识的保留。</w:t>
      </w:r>
    </w:p>
    <w:p>
      <w:r>
        <w:rPr>
          <w:b w:val="0"/>
        </w:rPr>
        <w:t>如果尚无可靠降级路径，建议暂停新版本推广，保留未升级设备的原版本，将失败设备纳入专项修复。恢复批量前，应验证在线状态、实际采集和CI对应关系；不能只以安装程序返回成功作为恢复完成。</w:t>
      </w:r>
    </w:p>
    <w:p>
      <w:pPr>
        <w:pStyle w:val="Heading1"/>
        <w:pageBreakBefore/>
      </w:pPr>
      <w:r>
        <w:t>3 课题57 严格分组及受限场景的替代方案</w:t>
      </w:r>
    </w:p>
    <w:p>
      <w:pPr>
        <w:pStyle w:val="Heading2"/>
      </w:pPr>
      <w:r>
        <w:t>3.11 现有 Windows MECM 分发通道</w:t>
      </w:r>
    </w:p>
    <w:p>
      <w:r>
        <w:rPr>
          <w:b w:val="0"/>
        </w:rPr>
        <w:t>适用条件：客户已有可用的 MECM 终端管理体系，需要按部门或区域批准发布，或不适合采用 ServiceNow 高数量升级。MECM负责把安装任务送到指定Windows设备；ACC升级后的数据仍经MID回到ServiceNow。两者职责不同。</w:t>
      </w:r>
    </w:p>
    <w:p>
      <w:r>
        <w:rPr>
          <w:b w:val="0"/>
        </w:rPr>
        <w:t>官方依据：Configuration Manager 支持面向集合的分阶段部署和部署状态监控。[S18][S19] 这证明分批分发能力，并不自动证明任意ACC版本、mTLS配置及30万台吞吐都已兼容。</w:t>
      </w:r>
    </w:p>
    <w:p>
      <w:r>
        <w:rPr>
          <w:b w:val="0"/>
        </w:rPr>
        <w:t>1. 由MECM担当建立试验设备集合及后续批次集合，检查重复包含和排除规则。以客户批准名单为依据，不直接部署到全部设备。</w:t>
      </w:r>
    </w:p>
    <w:p>
      <w:r>
        <w:rPr>
          <w:b w:val="0"/>
        </w:rPr>
        <w:t>2. 取得批准的ACC目标安装包，为升级路径做封装验证：执行上下文、静默参数、检测目标版本、返回码、重启行为和日志路径。现有首次安装包不可未经验证直接当成升级包。</w:t>
      </w:r>
    </w:p>
    <w:p>
      <w:r>
        <w:rPr>
          <w:b w:val="0"/>
        </w:rPr>
        <w:t>3. 在真实旧版本设备试装，验证 acc.yml、证书、API Key配置和代理标识未被错误重置；对mTLS设备验证握手及采集，而不只看服务启动。</w:t>
      </w:r>
    </w:p>
    <w:p>
      <w:r>
        <w:rPr>
          <w:b w:val="0"/>
        </w:rPr>
        <w:t>4. 把验证后的材料分发到所需分发点，先对试验集合部署，随后逐个批准其他集合。若要求每批人工批准，可采用各集合独立部署；不要默认所有应用分阶段功能都有手工进入下一阶段选项。</w:t>
      </w:r>
    </w:p>
    <w:p>
      <w:r>
        <w:rPr>
          <w:b w:val="0"/>
        </w:rPr>
        <w:t>5. 将MECM安装结果和ServiceNow代理版本、在线、采集结果对账。MECM显示安装成功但ACC未回连的设备，仍列为未完成；按上一页的异常规则暂停后续部署。</w:t>
      </w:r>
    </w:p>
    <w:p>
      <w:pPr>
        <w:pStyle w:val="Heading2"/>
      </w:pPr>
      <w:r>
        <w:t>3.12 Linux和其他限制场景</w:t>
      </w:r>
    </w:p>
    <w:p>
      <w:r>
        <w:rPr>
          <w:b w:val="0"/>
        </w:rPr>
        <w:t>Linux建议评估客户已有且受支持的配置管理或软件分发通道，由该通道在端末执行经过验证的本地升级；本报告不把Windows MECM部署流程直接套用到Linux。若客户没有成熟工具，先由管理员对少量设备验证手顺，再单独评估自动化建设成本。</w:t>
      </w:r>
    </w:p>
    <w:p>
      <w:pPr>
        <w:pStyle w:val="Heading2"/>
      </w:pPr>
      <w:r>
        <w:t>3.13 明确两条边界</w:t>
      </w:r>
    </w:p>
    <w:p>
      <w:r>
        <w:rPr>
          <w:b w:val="0"/>
        </w:rPr>
        <w:t>第一，同一批设备只保留一个升级执行方，避免ServiceNow定时作业和MECM同时驱动升级。第二，外部工具方案属于实施建议：只有包验证、配置保留、数据恢复和目标范围控制全部通过后，才能提交生产批准。若未通过，则保留现版本并提交具体失败证据，不向客户承诺必定可行。</w:t>
      </w:r>
    </w:p>
    <w:p>
      <w:pPr>
        <w:pStyle w:val="Heading1"/>
        <w:pageBreakBefore/>
      </w:pPr>
      <w:r>
        <w:t>4 实施分工及客户决策事项</w:t>
      </w:r>
    </w:p>
    <w:p>
      <w:pPr>
        <w:pStyle w:val="Heading2"/>
      </w:pPr>
      <w:r>
        <w:t>4.1 以证据推进而不是只列待确认问题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320"/>
        <w:gridCol w:w="38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具体交付物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1F1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放行条件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基线与方案评审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版本及代理台账；55A至55D选择；安全和分批要求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客户确认入口、分组、故障恢复和变更边界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连接与设限验证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连接矩阵；属性截图；故障及限额日志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课题55与56验收通过，配置可恢复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升级试验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旧版到目标版验证；下载路径；失败补救记录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小样本均正常，未解决失败不进入放量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逐步放量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每批名单；成功及例外数；吞吐和负荷曲线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观察指标达标，客户批准下一阶段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关闭课题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最终版本台账；例外处置清单；运维手顺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例外有负责人和期限，不隐藏未完成设备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4.2 各方负责什么</w:t>
      </w:r>
    </w:p>
    <w:p>
      <w:r>
        <w:rPr>
          <w:b w:val="0"/>
        </w:rPr>
        <w:t>咨询方：提出并比较方案，编制配置和测试手顺，定义验收证据，分析失败原因，形成建议和支持问询材料；不以“需确认”代替解决路径。</w:t>
      </w:r>
    </w:p>
    <w:p>
      <w:r>
        <w:rPr>
          <w:b w:val="0"/>
        </w:rPr>
        <w:t>客户平台担当：执行或批准ServiceNow属性、MID能力和作业变更，提供实例容量与升级历史。网络及安全担当：负责LB、DNS、路由、防火墙、证书和安全要求。端末担当：负责OS权限、安装材料、MECM集合及端末日志。业务负责人：批准范围、时间、恢复目标和继续发布。</w:t>
      </w:r>
    </w:p>
    <w:p>
      <w:pPr>
        <w:pStyle w:val="Heading2"/>
      </w:pPr>
      <w:r>
        <w:t>4.3 向 ServiceNow 支持提交的具体问题</w:t>
      </w:r>
    </w:p>
    <w:p>
      <w:r>
        <w:rPr>
          <w:b w:val="0"/>
        </w:rPr>
        <w:t>附上实例与ACC版本、30万台OS及地区分布、MID规格和数量、Checks及频率、LB与TLS模式、试验吞吐及失败日志，集中确认：当前版本的有效限额与运行口径；规模与容灾容量建议；mTLS下支持的升级替代路径；指定分组和特定旧版升级的支持边界。</w:t>
      </w:r>
    </w:p>
    <w:p>
      <w:r>
        <w:rPr>
          <w:b w:val="0"/>
        </w:rPr>
        <w:t>未获答复期间的建议：不提高到未经验证的连接或升级速率，不开启全量作业；仍可在批准的隔离样本上完成连接、上限和单台升级测试。收到厂商意见后修订参数与方案，再做有针对性的补测。</w:t>
      </w:r>
    </w:p>
    <w:p>
      <w:r>
        <w:rPr>
          <w:b/>
        </w:rPr>
        <w:t>最终建议：先批准一套连接方案和小规模验证，不直接批准30万台全量执行；用实测结果逐步形成可执行、可暂停、可核对的生产升级计划。</w:t>
      </w:r>
    </w:p>
    <w:p>
      <w:pPr>
        <w:pStyle w:val="Heading1"/>
        <w:pageBreakBefore/>
      </w:pPr>
      <w:r>
        <w:t>5 官网参考资料</w:t>
      </w:r>
    </w:p>
    <w:p>
      <w:r>
        <w:rPr>
          <w:b w:val="0"/>
          <w:sz w:val="20"/>
        </w:rPr>
        <w:t>ServiceNow条目采用Australia页面，统一查阅日期为2026年9月8日。Microsoft条目为产品在线文档。编号沿用原报告并新增来源，未在本版使用的编号省略。点击英文标题可打开原文。</w:t>
      </w:r>
    </w:p>
    <w:p>
      <w:pPr>
        <w:keepNext/>
        <w:spacing w:after="40"/>
      </w:pPr>
      <w:r>
        <w:rPr>
          <w:b w:val="0"/>
        </w:rPr>
        <w:t xml:space="preserve">[S1] </w:t>
      </w:r>
      <w:hyperlink r:id="rId10">
        <w:r>
          <w:rPr>
            <w:sz w:val="20"/>
            <w:color w:val="1F4E79"/>
          </w:rPr>
          <w:t>Enable the ACC load balancer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定位：Procedure：统一URL、关闭自动选择、健康检查及证书。</w:t>
      </w:r>
    </w:p>
    <w:p>
      <w:pPr>
        <w:keepNext/>
        <w:spacing w:after="40"/>
      </w:pPr>
      <w:r>
        <w:rPr>
          <w:b w:val="0"/>
        </w:rPr>
        <w:t xml:space="preserve">[S2] </w:t>
      </w:r>
      <w:hyperlink r:id="rId11">
        <w:r>
          <w:rPr>
            <w:sz w:val="20"/>
            <w:color w:val="1F4E79"/>
          </w:rPr>
          <w:t>Automatic MID Server selection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定位：Use case considerations：非真正负载均衡；Automatic selection process。</w:t>
      </w:r>
    </w:p>
    <w:p>
      <w:pPr>
        <w:keepNext/>
        <w:spacing w:after="40"/>
      </w:pPr>
      <w:r>
        <w:rPr>
          <w:b w:val="0"/>
        </w:rPr>
        <w:t xml:space="preserve">[S4] </w:t>
      </w:r>
      <w:hyperlink r:id="rId12">
        <w:r>
          <w:rPr>
            <w:sz w:val="20"/>
            <w:color w:val="1F4E79"/>
          </w:rPr>
          <w:t>ACC installation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定位：连接数属性及默认4000；不代表固定硬件容量保证。</w:t>
      </w:r>
    </w:p>
    <w:p>
      <w:pPr>
        <w:keepNext/>
        <w:spacing w:after="40"/>
      </w:pPr>
      <w:r>
        <w:rPr>
          <w:b w:val="0"/>
        </w:rPr>
        <w:t xml:space="preserve">[S5] </w:t>
      </w:r>
      <w:hyperlink r:id="rId13">
        <w:r>
          <w:rPr>
            <w:sz w:val="20"/>
            <w:color w:val="1F4E79"/>
          </w:rPr>
          <w:t>MID Server properties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定位：Create a MID Server property：单台或全局范围、配置表和重启。</w:t>
      </w:r>
    </w:p>
    <w:p>
      <w:pPr>
        <w:keepNext/>
        <w:spacing w:after="40"/>
      </w:pPr>
      <w:r>
        <w:rPr>
          <w:b w:val="0"/>
        </w:rPr>
        <w:t xml:space="preserve">[S6] </w:t>
      </w:r>
      <w:hyperlink r:id="rId14">
        <w:r>
          <w:rPr>
            <w:sz w:val="20"/>
            <w:color w:val="1F4E79"/>
          </w:rPr>
          <w:t>Agent Client Collector upgrade overview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2026-05-28</w:t>
        <w:br/>
        <w:t>定位：正文Upgrade methods/stages、mTLS限制、下载和渐进升级。</w:t>
      </w:r>
    </w:p>
    <w:p>
      <w:pPr>
        <w:keepNext/>
        <w:spacing w:after="40"/>
      </w:pPr>
      <w:r>
        <w:rPr>
          <w:b w:val="0"/>
        </w:rPr>
        <w:t xml:space="preserve">[S7] </w:t>
      </w:r>
      <w:hyperlink r:id="rId15">
        <w:r>
          <w:rPr>
            <w:sz w:val="20"/>
            <w:color w:val="1F4E79"/>
          </w:rPr>
          <w:t>Upgrade multiple agents in an instance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定位：选择性升级步骤；与概览最大台数描述存在差异。</w:t>
      </w:r>
    </w:p>
    <w:p>
      <w:pPr>
        <w:keepNext/>
        <w:spacing w:after="40"/>
      </w:pPr>
      <w:r>
        <w:rPr>
          <w:b w:val="0"/>
        </w:rPr>
        <w:t xml:space="preserve">[S8] </w:t>
      </w:r>
      <w:hyperlink r:id="rId16">
        <w:r>
          <w:rPr>
            <w:sz w:val="20"/>
            <w:color w:val="1F4E79"/>
          </w:rPr>
          <w:t>Run a mass upgrade via the scheduled upgrade job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2026-05-28</w:t>
        <w:br/>
        <w:t>定位：Procedure：作业入口、Active、默认频率及维护时间。</w:t>
      </w:r>
    </w:p>
    <w:p>
      <w:pPr>
        <w:keepNext/>
        <w:spacing w:after="40"/>
      </w:pPr>
      <w:r>
        <w:rPr>
          <w:b w:val="0"/>
        </w:rPr>
        <w:t xml:space="preserve">[S9] </w:t>
      </w:r>
      <w:hyperlink r:id="rId17">
        <w:r>
          <w:rPr>
            <w:sz w:val="20"/>
            <w:color w:val="1F4E79"/>
          </w:rPr>
          <w:t>Run a mass upgrade using a background script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2026-05-28</w:t>
        <w:br/>
        <w:t>定位：立即触发路径；仍受限速控制。</w:t>
      </w:r>
    </w:p>
    <w:p>
      <w:pPr>
        <w:keepNext/>
        <w:spacing w:after="40"/>
      </w:pPr>
      <w:r>
        <w:rPr>
          <w:b w:val="0"/>
        </w:rPr>
        <w:t xml:space="preserve">[S10] </w:t>
      </w:r>
      <w:hyperlink r:id="rId18">
        <w:r>
          <w:rPr>
            <w:sz w:val="20"/>
            <w:color w:val="1F4E79"/>
          </w:rPr>
          <w:t>ACC upgrade properties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2026-05-28</w:t>
        <w:br/>
        <w:t>定位：升级开关、目标版本、每次作业上限及重试属性。</w:t>
      </w:r>
    </w:p>
    <w:p>
      <w:pPr>
        <w:pStyle w:val="Heading1"/>
        <w:pageBreakBefore/>
      </w:pPr>
      <w:r>
        <w:t>5 官网参考资料续</w:t>
      </w:r>
    </w:p>
    <w:p>
      <w:r>
        <w:rPr>
          <w:b w:val="0"/>
          <w:sz w:val="20"/>
        </w:rPr>
        <w:t>来源说明继续。建议方案、示例参数、告警阈值及验收方法为本报告提出的项目建议，不是原文逐字要求。</w:t>
      </w:r>
    </w:p>
    <w:p>
      <w:pPr>
        <w:keepNext/>
        <w:spacing w:after="40"/>
      </w:pPr>
      <w:r>
        <w:rPr>
          <w:b w:val="0"/>
        </w:rPr>
        <w:t xml:space="preserve">[S12] </w:t>
      </w:r>
      <w:hyperlink r:id="rId19">
        <w:r>
          <w:rPr>
            <w:sz w:val="20"/>
            <w:color w:val="1F4E79"/>
          </w:rPr>
          <w:t>Supported platforms for auto-upgrade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2026-05-28</w:t>
        <w:br/>
        <w:t>定位：平台和权限；实施前按所用版本及实际账号确认。</w:t>
      </w:r>
    </w:p>
    <w:p>
      <w:pPr>
        <w:keepNext/>
        <w:spacing w:after="40"/>
      </w:pPr>
      <w:r>
        <w:rPr>
          <w:b w:val="0"/>
        </w:rPr>
        <w:t xml:space="preserve">[S13] </w:t>
      </w:r>
      <w:hyperlink r:id="rId20">
        <w:r>
          <w:rPr>
            <w:sz w:val="20"/>
            <w:color w:val="1F4E79"/>
          </w:rPr>
          <w:t>Perform high-volume ACC upgrade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定位：用于说明旧页面与S10默认限额差异，不作为新值依据。</w:t>
      </w:r>
    </w:p>
    <w:p>
      <w:pPr>
        <w:keepNext/>
        <w:spacing w:after="40"/>
      </w:pPr>
      <w:r>
        <w:rPr>
          <w:b w:val="0"/>
        </w:rPr>
        <w:t xml:space="preserve">[S14] </w:t>
      </w:r>
      <w:hyperlink r:id="rId21">
        <w:r>
          <w:rPr>
            <w:sz w:val="20"/>
            <w:color w:val="1F4E79"/>
          </w:rPr>
          <w:t>Configure automatic MID selection based on ACC capabilities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定位：Procedure及A/B/C示例：通过能力限定候选MID。</w:t>
      </w:r>
    </w:p>
    <w:p>
      <w:pPr>
        <w:keepNext/>
        <w:spacing w:after="40"/>
      </w:pPr>
      <w:r>
        <w:rPr>
          <w:b w:val="0"/>
        </w:rPr>
        <w:t xml:space="preserve">[S15] </w:t>
      </w:r>
      <w:hyperlink r:id="rId22">
        <w:r>
          <w:rPr>
            <w:sz w:val="20"/>
            <w:color w:val="1F4E79"/>
          </w:rPr>
          <w:t>Configure the Agent Client Collector capabilities for MID Servers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定位：Is ACC Capability及相同能力的候选资格。</w:t>
      </w:r>
    </w:p>
    <w:p>
      <w:pPr>
        <w:keepNext/>
        <w:spacing w:after="40"/>
      </w:pPr>
      <w:r>
        <w:rPr>
          <w:b w:val="0"/>
        </w:rPr>
        <w:t xml:space="preserve">[S16] </w:t>
      </w:r>
      <w:hyperlink r:id="rId23">
        <w:r>
          <w:rPr>
            <w:sz w:val="20"/>
            <w:color w:val="1F4E79"/>
          </w:rPr>
          <w:t>Optimize distribution of agents to MID Servers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2026-03-12</w:t>
        <w:br/>
        <w:t>定位：前提和Try redistributing connected agents；记录数量变化。</w:t>
      </w:r>
    </w:p>
    <w:p>
      <w:pPr>
        <w:keepNext/>
        <w:spacing w:after="40"/>
      </w:pPr>
      <w:r>
        <w:rPr>
          <w:b w:val="0"/>
        </w:rPr>
        <w:t xml:space="preserve">[S17] </w:t>
      </w:r>
      <w:hyperlink r:id="rId24">
        <w:r>
          <w:rPr>
            <w:sz w:val="20"/>
            <w:color w:val="1F4E79"/>
          </w:rPr>
          <w:t>Secure your Azure Load Balancer deployment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查阅日2026-09-08</w:t>
        <w:br/>
        <w:t>定位：Data protection：四层LB不终止TLS。</w:t>
      </w:r>
    </w:p>
    <w:p>
      <w:pPr>
        <w:keepNext/>
        <w:spacing w:after="40"/>
      </w:pPr>
      <w:r>
        <w:rPr>
          <w:b w:val="0"/>
        </w:rPr>
        <w:t xml:space="preserve">[S18] </w:t>
      </w:r>
      <w:hyperlink r:id="rId25">
        <w:r>
          <w:rPr>
            <w:sz w:val="20"/>
            <w:color w:val="1F4E79"/>
          </w:rPr>
          <w:t>Create phased deployments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查阅日2026-09-08</w:t>
        <w:br/>
        <w:t>定位：应用及集合分阶段部署；具体选项存在对象类型限制。</w:t>
      </w:r>
    </w:p>
    <w:p>
      <w:pPr>
        <w:keepNext/>
        <w:spacing w:after="40"/>
      </w:pPr>
      <w:r>
        <w:rPr>
          <w:b w:val="0"/>
        </w:rPr>
        <w:t xml:space="preserve">[S19] </w:t>
      </w:r>
      <w:hyperlink r:id="rId26">
        <w:r>
          <w:rPr>
            <w:sz w:val="20"/>
            <w:color w:val="1F4E79"/>
          </w:rPr>
          <w:t>Manage and monitor phased deployments</w:t>
        </w:r>
      </w:hyperlink>
    </w:p>
    <w:p>
      <w:pPr>
        <w:keepLines/>
        <w:spacing w:line="300" w:lineRule="exact" w:after="180"/>
      </w:pPr>
      <w:r>
        <w:rPr>
          <w:b w:val="0"/>
          <w:sz w:val="20"/>
        </w:rPr>
        <w:t>页面日期 查阅日2026-09-08</w:t>
        <w:br/>
        <w:t>定位：监控、暂停与恢复；仅作为终端分发能力的依据。</w:t>
      </w:r>
    </w:p>
    <w:p>
      <w:pPr>
        <w:pStyle w:val="Heading2"/>
      </w:pPr>
      <w:r>
        <w:t>如何处理版本差异</w:t>
      </w:r>
    </w:p>
    <w:p>
      <w:r>
        <w:rPr>
          <w:b w:val="0"/>
          <w:sz w:val="20"/>
        </w:rPr>
        <w:t>本报告优先采用较新且专门描述相关功能的页面；存在不一致时明确保留差异，不以其中一个数字替代实例验证。正式变更前记录实际属性、界面和版本，并将必要的厂商答复附入实施记录。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ACC 与 MID Server 调查报告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9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rvicenow.com/docs/r/it-operations-management/agent-client-collector/acc-enable-load-balancer.html" TargetMode="External"/><Relationship Id="rId11" Type="http://schemas.openxmlformats.org/officeDocument/2006/relationships/hyperlink" Target="https://www.servicenow.com/docs/r/it-operations-management/agent-client-collector/acc-auto-mid-selection.html" TargetMode="External"/><Relationship Id="rId12" Type="http://schemas.openxmlformats.org/officeDocument/2006/relationships/hyperlink" Target="https://www.servicenow.com/docs/r/it-operations-management/agent-client-collector/acc-installation.html" TargetMode="External"/><Relationship Id="rId13" Type="http://schemas.openxmlformats.org/officeDocument/2006/relationships/hyperlink" Target="https://www.servicenow.com/docs/r/servicenow-platform/mid-server/r_MIDServerProperties.html" TargetMode="External"/><Relationship Id="rId14" Type="http://schemas.openxmlformats.org/officeDocument/2006/relationships/hyperlink" Target="https://www.servicenow.com/docs/r/it-operations-management/agent-client-collector/acc-agent-upgrade-overview.html?contentId=y~0bHmWxXhzfwh0_AJaXtQ" TargetMode="External"/><Relationship Id="rId15" Type="http://schemas.openxmlformats.org/officeDocument/2006/relationships/hyperlink" Target="https://www.servicenow.com/docs/r/it-operations-management/agent-client-collector/upgrade-multiple-agents-from-instance.html" TargetMode="External"/><Relationship Id="rId16" Type="http://schemas.openxmlformats.org/officeDocument/2006/relationships/hyperlink" Target="https://www.servicenow.com/docs/r/it-operations-management/agent-client-collector/enable-agent-upgrade-scheduled-job.html" TargetMode="External"/><Relationship Id="rId17" Type="http://schemas.openxmlformats.org/officeDocument/2006/relationships/hyperlink" Target="https://www.servicenow.com/docs/r/it-operations-management/agent-client-collector/run-agent-mass-upgrade-script.html" TargetMode="External"/><Relationship Id="rId18" Type="http://schemas.openxmlformats.org/officeDocument/2006/relationships/hyperlink" Target="https://www.servicenow.com/docs/r/it-operations-management/agent-client-collector/acc-agent-upgrade-properties.html?contentId=f50~L4u0vuhm_S263T6oOQ" TargetMode="External"/><Relationship Id="rId19" Type="http://schemas.openxmlformats.org/officeDocument/2006/relationships/hyperlink" Target="https://www.servicenow.com/docs/r/it-operations-management/agent-client-collector/acc-agent-upgrade-platforms.html" TargetMode="External"/><Relationship Id="rId20" Type="http://schemas.openxmlformats.org/officeDocument/2006/relationships/hyperlink" Target="https://www.servicenow.com/docs/r/fr-FR/it-operations-management/agent-client-collector/acc-high-volume-upgrade.html" TargetMode="External"/><Relationship Id="rId21" Type="http://schemas.openxmlformats.org/officeDocument/2006/relationships/hyperlink" Target="https://www.servicenow.com/docs/r/it-operations-management/agent-client-collector/configure-auto-mid-eligibility-by-capability.html?contentId=1qNJXu5KfmIwuU9I0G3z4Q" TargetMode="External"/><Relationship Id="rId22" Type="http://schemas.openxmlformats.org/officeDocument/2006/relationships/hyperlink" Target="https://www.servicenow.com/docs/r/it-operations-management/agent-client-collector/configure-acc-capability.html?contentId=01uoKLRhVJxwgKEMHOBBCw" TargetMode="External"/><Relationship Id="rId23" Type="http://schemas.openxmlformats.org/officeDocument/2006/relationships/hyperlink" Target="https://www.servicenow.com/docs/r/it-operations-management/agent-client-collector/acc-redistribute-agents-mid.html" TargetMode="External"/><Relationship Id="rId24" Type="http://schemas.openxmlformats.org/officeDocument/2006/relationships/hyperlink" Target="https://learn.microsoft.com/en-us/azure/load-balancer/secure-load-balancer" TargetMode="External"/><Relationship Id="rId25" Type="http://schemas.openxmlformats.org/officeDocument/2006/relationships/hyperlink" Target="https://learn.microsoft.com/en-us/intune/configmgr/osd/deploy-use/create-phased-deployment-for-task-sequence" TargetMode="External"/><Relationship Id="rId26" Type="http://schemas.openxmlformats.org/officeDocument/2006/relationships/hyperlink" Target="https://learn.microsoft.com/en-us/intune/configmgr/osd/deploy-use/manage-monitor-phased-deploy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与 MID Server 连接分配及大规模升级解决方案</dc:title>
  <dc:subject>课题55至57 推荐方案 配置步骤 验收及异常处理</dc:subject>
  <dc:creator/>
  <cp:keywords>ServiceNow, ACC, MID Server, Load Balancer, Upgrade</cp:keywords>
  <dc:description>基于原中文版补充 2026-09-08 未进行客户环境实测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