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ACC と MID Server</w:t>
        <w:br/>
        <w:t xml:space="preserve">接続割当および大規模アップグレードの解決策</w:t>
      </w:r>
    </w:p>
    <w:p>
      <w:r>
        <w:rPr>
          <w:b w:val="0"/>
          <w:sz w:val="20"/>
        </w:rPr>
        <w:t xml:space="preserve">日本語詳細版    2026年9月8日    対象：課題55・56・57</w:t>
      </w:r>
    </w:p>
    <w:p>
      <w:r>
        <w:rPr>
          <w:b w:val="0"/>
        </w:rPr>
        <w:t xml:space="preserve">本報告書は従来の調査結果を補足し、採用する方式、設定手順、検証方法、障害時の対応を具体化したものです。ACC が MID Server を経由して ServiceNow に接続する構成を対象とし、MID-less 構成は含みません。</w:t>
      </w:r>
    </w:p>
    <w:p>
      <w:pPr>
        <w:pStyle w:val="Heading2"/>
      </w:pPr>
      <w:r>
        <w:t xml:space="preserve">お客様への全体提案</w:t>
      </w:r>
    </w:p>
    <w:p>
      <w:r>
        <w:rPr>
          <w:b w:val="0"/>
        </w:rPr>
        <w:t xml:space="preserve">課題55：負荷分散装置（LB）の共通接続先が必須であれば、その構成を維持して LB に接続を分配させます。各 ACC を特定の MID に恒久固定することは保証せず、グループごとの接続先制限が必要な場合に、入口の分割や Capability による候補 MID の限定を検討します。</w:t>
      </w:r>
    </w:p>
    <w:p>
      <w:r>
        <w:rPr>
          <w:b w:val="0"/>
        </w:rPr>
        <w:t xml:space="preserve">課題56：MID ごとに接続上限を設定し、障害時の引継ぎ容量も確保します。上限は保護のための設定であり、実際の収集負荷に基づいて処理能力を判断します。既定値の引上げだけで対応しません。</w:t>
      </w:r>
    </w:p>
    <w:p>
      <w:r>
        <w:rPr>
          <w:b w:val="0"/>
        </w:rPr>
        <w:t xml:space="preserve">課題57：少数端末で確認した後、定期ジョブで台数を制限しながら進めます。部門ごとの承認が必須、または mTLS を使用する場合は、既存の端末配布ツールを代替実行手段として優先的に評価します。</w:t>
      </w:r>
    </w:p>
    <w:p>
      <w:pPr>
        <w:pStyle w:val="Heading2"/>
      </w:pPr>
      <w:r>
        <w:t xml:space="preserve">今回追加した内容</w:t>
      </w:r>
    </w:p>
    <w:p>
      <w:r>
        <w:rPr>
          <w:b w:val="0"/>
        </w:rPr>
        <w:t xml:space="preserve">各課題について、推奨案、選定条件、実施手順、設定例、合格条件、失敗時の対応を整理しました。グループ分離と障害切替の関係、容量の見積り、更新速度の例、停止・再開手順、お客様とコンサルタントの役割も示しています。</w:t>
      </w:r>
    </w:p>
    <w:p>
      <w:pPr>
        <w:pStyle w:val="Heading2"/>
      </w:pPr>
      <w:r>
        <w:t xml:space="preserve">本報告書の読み方</w:t>
      </w:r>
    </w:p>
    <w:p>
      <w:r>
        <w:rPr>
          <w:b w:val="0"/>
        </w:rPr>
        <w:t xml:space="preserve">「公式根拠」は確認した製品文書を指します。「提案」は本報告書の設計・運用上の推奨であり、メーカーの保証ではありません。「要検証」の事項には確認手順と暫定対応を示します。Australia の文書を基準とし、お客様のインスタンスおよび ACC Framework の実バージョンは未確認です。</w:t>
      </w:r>
    </w:p>
    <w:p>
      <w:r>
        <w:rPr>
          <w:b w:val="0"/>
          <w:sz w:val="20"/>
        </w:rPr>
        <w:t xml:space="preserve">記載するドメイン、台数、速度、閾値は例または承認前の提案値です。お客様の環境へのログインや設定変更、30万台の負荷試験は実施していません。元の中国語版は変更せず、本書を方式レビューに使用します。</w:t>
      </w:r>
    </w:p>
    <w:p>
      <w:pPr>
        <w:pStyle w:val="Heading1"/>
        <w:pageBreakBefore/>
      </w:pPr>
      <w:r>
        <w:t xml:space="preserve">1 課題55 接続割当方式の選定</w:t>
      </w:r>
    </w:p>
    <w:p>
      <w:pPr>
        <w:pStyle w:val="Heading2"/>
      </w:pPr>
      <w:r>
        <w:t xml:space="preserve">1.1 お客様の要件を分けて確認する</w:t>
      </w:r>
    </w:p>
    <w:p>
      <w:r>
        <w:rPr>
          <w:b w:val="0"/>
        </w:rPr>
        <w:t xml:space="preserve">「現在どの MID に接続しているか分かること」「ある端末群を指定した MID 群だけに接続させること」「唯一の MID に恒久固定すること」は別の要件です。原則として最初の二つを満たす方式を推奨します。単一 MID への固定は障害切替を制約するため、明確な分離・運用上の必要性がある場合に限って選定します。</w:t>
      </w:r>
    </w:p>
    <w:p>
      <w:r>
        <w:rPr>
          <w:b w:val="0"/>
        </w:rPr>
        <w:t xml:space="preserve">公式根拠：LB 方式では ACC の接続先を共通 URL にし、自動 MID 選択を無効にします。一方、自動 MID 選択は主にフェイルオーバーを目的とし、厳密な負荷分散機能ではありません。[S1][S2]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880"/>
        <w:gridCol w:w="4968"/>
      </w:tblGrid>
      <w:tr>
        <w:trPr>
          <w:cantSplit/>
          <w:tblHeader/>
        </w:trPr>
        <w:tc>
          <w:tcPr>
            <w:tcW w:type="dxa" w:w="2232"/>
            <w:vAlign w:val="center"/>
            <w:tcMar>
              <w:top w:w="90" w:type="dxa"/>
              <w:bottom w:w="90" w:type="dxa"/>
              <w:left w:w="90" w:type="dxa"/>
              <w:right w:w="90" w:type="dxa"/>
            </w:tcMar>
            <w:shd w:fill="F1F1F1"/>
          </w:tcPr>
          <w:p>
            <w:pPr>
              <w:spacing w:line="300" w:lineRule="exact" w:after="0"/>
            </w:pPr>
            <w:r>
              <w:rPr>
                <w:b/>
                <w:sz w:val="20"/>
              </w:rPr>
              <w:t xml:space="preserve">方式</w:t>
            </w:r>
          </w:p>
        </w:tc>
        <w:tc>
          <w:tcPr>
            <w:tcW w:type="dxa" w:w="2880"/>
            <w:vAlign w:val="center"/>
            <w:tcMar>
              <w:top w:w="90" w:type="dxa"/>
              <w:bottom w:w="90" w:type="dxa"/>
              <w:left w:w="90" w:type="dxa"/>
              <w:right w:w="90" w:type="dxa"/>
            </w:tcMar>
            <w:shd w:fill="F1F1F1"/>
          </w:tcPr>
          <w:p>
            <w:pPr>
              <w:spacing w:line="300" w:lineRule="exact" w:after="0"/>
            </w:pPr>
            <w:r>
              <w:rPr>
                <w:b/>
                <w:sz w:val="20"/>
              </w:rPr>
              <w:t xml:space="preserve">適する要件</w:t>
            </w:r>
          </w:p>
        </w:tc>
        <w:tc>
          <w:tcPr>
            <w:tcW w:type="dxa" w:w="4968"/>
            <w:vAlign w:val="center"/>
            <w:tcMar>
              <w:top w:w="90" w:type="dxa"/>
              <w:bottom w:w="90" w:type="dxa"/>
              <w:left w:w="90" w:type="dxa"/>
              <w:right w:w="90" w:type="dxa"/>
            </w:tcMar>
            <w:shd w:fill="F1F1F1"/>
          </w:tcPr>
          <w:p>
            <w:pPr>
              <w:spacing w:line="300" w:lineRule="exact" w:after="0"/>
            </w:pPr>
            <w:r>
              <w:rPr>
                <w:b/>
                <w:sz w:val="20"/>
              </w:rPr>
              <w:t xml:space="preserve">結果と主な制約</w:t>
            </w:r>
          </w:p>
        </w:tc>
      </w:tr>
      <w:tr>
        <w:trPr>
          <w:cantSplit/>
        </w:trPr>
        <w:tc>
          <w:tcPr>
            <w:tcW w:type="dxa" w:w="2232"/>
            <w:vAlign w:val="center"/>
            <w:tcMar>
              <w:top w:w="90" w:type="dxa"/>
              <w:bottom w:w="90" w:type="dxa"/>
              <w:left w:w="90" w:type="dxa"/>
              <w:right w:w="90" w:type="dxa"/>
            </w:tcMar>
          </w:tcPr>
          <w:p>
            <w:pPr>
              <w:spacing w:line="300" w:lineRule="exact" w:after="0"/>
            </w:pPr>
            <w:r>
              <w:rPr>
                <w:b w:val="0"/>
                <w:sz w:val="20"/>
              </w:rPr>
              <w:t xml:space="preserve">55A 共通 LB 入口</w:t>
              <w:br/>
              <w:t xml:space="preserve">現時点の優先候補</w:t>
            </w:r>
          </w:p>
        </w:tc>
        <w:tc>
          <w:tcPr>
            <w:tcW w:type="dxa" w:w="2880"/>
            <w:vAlign w:val="center"/>
            <w:tcMar>
              <w:top w:w="90" w:type="dxa"/>
              <w:bottom w:w="90" w:type="dxa"/>
              <w:left w:w="90" w:type="dxa"/>
              <w:right w:w="90" w:type="dxa"/>
            </w:tcMar>
          </w:tcPr>
          <w:p>
            <w:pPr>
              <w:spacing w:line="300" w:lineRule="exact" w:after="0"/>
            </w:pPr>
            <w:r>
              <w:rPr>
                <w:b w:val="0"/>
                <w:sz w:val="20"/>
              </w:rPr>
              <w:t xml:space="preserve">入口を統一し、障害後に再接続</w:t>
            </w:r>
          </w:p>
        </w:tc>
        <w:tc>
          <w:tcPr>
            <w:tcW w:type="dxa" w:w="4968"/>
            <w:vAlign w:val="center"/>
            <w:tcMar>
              <w:top w:w="90" w:type="dxa"/>
              <w:bottom w:w="90" w:type="dxa"/>
              <w:left w:w="90" w:type="dxa"/>
              <w:right w:w="90" w:type="dxa"/>
            </w:tcMar>
          </w:tcPr>
          <w:p>
            <w:pPr>
              <w:spacing w:line="300" w:lineRule="exact" w:after="0"/>
            </w:pPr>
            <w:r>
              <w:rPr>
                <w:b w:val="0"/>
                <w:sz w:val="20"/>
              </w:rPr>
              <w:t xml:space="preserve">LB が分配。固定 MID や50%ずつの配分は保証しない</w:t>
            </w:r>
          </w:p>
        </w:tc>
      </w:tr>
      <w:tr>
        <w:trPr>
          <w:cantSplit/>
        </w:trPr>
        <w:tc>
          <w:tcPr>
            <w:tcW w:type="dxa" w:w="2232"/>
            <w:vAlign w:val="center"/>
            <w:tcMar>
              <w:top w:w="90" w:type="dxa"/>
              <w:bottom w:w="90" w:type="dxa"/>
              <w:left w:w="90" w:type="dxa"/>
              <w:right w:w="90" w:type="dxa"/>
            </w:tcMar>
          </w:tcPr>
          <w:p>
            <w:pPr>
              <w:spacing w:line="300" w:lineRule="exact" w:after="0"/>
            </w:pPr>
            <w:r>
              <w:rPr>
                <w:b w:val="0"/>
                <w:sz w:val="20"/>
              </w:rPr>
              <w:t xml:space="preserve">55B MID の直接指定</w:t>
            </w:r>
          </w:p>
        </w:tc>
        <w:tc>
          <w:tcPr>
            <w:tcW w:type="dxa" w:w="2880"/>
            <w:vAlign w:val="center"/>
            <w:tcMar>
              <w:top w:w="90" w:type="dxa"/>
              <w:bottom w:w="90" w:type="dxa"/>
              <w:left w:w="90" w:type="dxa"/>
              <w:right w:w="90" w:type="dxa"/>
            </w:tcMar>
          </w:tcPr>
          <w:p>
            <w:pPr>
              <w:spacing w:line="300" w:lineRule="exact" w:after="0"/>
            </w:pPr>
            <w:r>
              <w:rPr>
                <w:b w:val="0"/>
                <w:sz w:val="20"/>
              </w:rPr>
              <w:t xml:space="preserve">唯一の MID への固定が必須</w:t>
            </w:r>
          </w:p>
        </w:tc>
        <w:tc>
          <w:tcPr>
            <w:tcW w:type="dxa" w:w="4968"/>
            <w:vAlign w:val="center"/>
            <w:tcMar>
              <w:top w:w="90" w:type="dxa"/>
              <w:bottom w:w="90" w:type="dxa"/>
              <w:left w:w="90" w:type="dxa"/>
              <w:right w:w="90" w:type="dxa"/>
            </w:tcMar>
          </w:tcPr>
          <w:p>
            <w:pPr>
              <w:spacing w:line="300" w:lineRule="exact" w:after="0"/>
            </w:pPr>
            <w:r>
              <w:rPr>
                <w:b w:val="0"/>
                <w:sz w:val="20"/>
              </w:rPr>
              <w:t xml:space="preserve">群ごとに直接アドレスを設定。障害時は手動または別途設計した切替が必要</w:t>
            </w:r>
          </w:p>
        </w:tc>
      </w:tr>
      <w:tr>
        <w:trPr>
          <w:cantSplit/>
        </w:trPr>
        <w:tc>
          <w:tcPr>
            <w:tcW w:type="dxa" w:w="2232"/>
            <w:vAlign w:val="center"/>
            <w:tcMar>
              <w:top w:w="90" w:type="dxa"/>
              <w:bottom w:w="90" w:type="dxa"/>
              <w:left w:w="90" w:type="dxa"/>
              <w:right w:w="90" w:type="dxa"/>
            </w:tcMar>
          </w:tcPr>
          <w:p>
            <w:pPr>
              <w:spacing w:line="300" w:lineRule="exact" w:after="0"/>
            </w:pPr>
            <w:r>
              <w:rPr>
                <w:b w:val="0"/>
                <w:sz w:val="20"/>
              </w:rPr>
              <w:t xml:space="preserve">55C Capability 候補群</w:t>
            </w:r>
          </w:p>
        </w:tc>
        <w:tc>
          <w:tcPr>
            <w:tcW w:type="dxa" w:w="2880"/>
            <w:vAlign w:val="center"/>
            <w:tcMar>
              <w:top w:w="90" w:type="dxa"/>
              <w:bottom w:w="90" w:type="dxa"/>
              <w:left w:w="90" w:type="dxa"/>
              <w:right w:w="90" w:type="dxa"/>
            </w:tcMar>
          </w:tcPr>
          <w:p>
            <w:pPr>
              <w:spacing w:line="300" w:lineRule="exact" w:after="0"/>
            </w:pPr>
            <w:r>
              <w:rPr>
                <w:b w:val="0"/>
                <w:sz w:val="20"/>
              </w:rPr>
              <w:t xml:space="preserve">LB は必須でなく、候補を限定したい</w:t>
            </w:r>
          </w:p>
        </w:tc>
        <w:tc>
          <w:tcPr>
            <w:tcW w:type="dxa" w:w="4968"/>
            <w:vAlign w:val="center"/>
            <w:tcMar>
              <w:top w:w="90" w:type="dxa"/>
              <w:bottom w:w="90" w:type="dxa"/>
              <w:left w:w="90" w:type="dxa"/>
              <w:right w:w="90" w:type="dxa"/>
            </w:tcMar>
          </w:tcPr>
          <w:p>
            <w:pPr>
              <w:spacing w:line="300" w:lineRule="exact" w:after="0"/>
            </w:pPr>
            <w:r>
              <w:rPr>
                <w:b w:val="0"/>
                <w:sz w:val="20"/>
              </w:rPr>
              <w:t xml:space="preserve">標準の候補選別と自動選択。到達可能な予備 MID が必要</w:t>
            </w:r>
          </w:p>
        </w:tc>
      </w:tr>
      <w:tr>
        <w:trPr>
          <w:cantSplit/>
        </w:trPr>
        <w:tc>
          <w:tcPr>
            <w:tcW w:type="dxa" w:w="2232"/>
            <w:vAlign w:val="center"/>
            <w:tcMar>
              <w:top w:w="90" w:type="dxa"/>
              <w:bottom w:w="90" w:type="dxa"/>
              <w:left w:w="90" w:type="dxa"/>
              <w:right w:w="90" w:type="dxa"/>
            </w:tcMar>
          </w:tcPr>
          <w:p>
            <w:pPr>
              <w:spacing w:line="300" w:lineRule="exact" w:after="0"/>
            </w:pPr>
            <w:r>
              <w:rPr>
                <w:b w:val="0"/>
                <w:sz w:val="20"/>
              </w:rPr>
              <w:t xml:space="preserve">55D 群別 LB 入口</w:t>
            </w:r>
          </w:p>
        </w:tc>
        <w:tc>
          <w:tcPr>
            <w:tcW w:type="dxa" w:w="2880"/>
            <w:vAlign w:val="center"/>
            <w:tcMar>
              <w:top w:w="90" w:type="dxa"/>
              <w:bottom w:w="90" w:type="dxa"/>
              <w:left w:w="90" w:type="dxa"/>
              <w:right w:w="90" w:type="dxa"/>
            </w:tcMar>
          </w:tcPr>
          <w:p>
            <w:pPr>
              <w:spacing w:line="300" w:lineRule="exact" w:after="0"/>
            </w:pPr>
            <w:r>
              <w:rPr>
                <w:b w:val="0"/>
                <w:sz w:val="20"/>
              </w:rPr>
              <w:t xml:space="preserve">LB 経由が必須で、群も分離したい</w:t>
            </w:r>
          </w:p>
        </w:tc>
        <w:tc>
          <w:tcPr>
            <w:tcW w:type="dxa" w:w="4968"/>
            <w:vAlign w:val="center"/>
            <w:tcMar>
              <w:top w:w="90" w:type="dxa"/>
              <w:bottom w:w="90" w:type="dxa"/>
              <w:left w:w="90" w:type="dxa"/>
              <w:right w:w="90" w:type="dxa"/>
            </w:tcMar>
          </w:tcPr>
          <w:p>
            <w:pPr>
              <w:spacing w:line="300" w:lineRule="exact" w:after="0"/>
            </w:pPr>
            <w:r>
              <w:rPr>
                <w:b w:val="0"/>
                <w:sz w:val="20"/>
              </w:rPr>
              <w:t xml:space="preserve">入口とプールを分ける設計。資源と運用コストが増える</w:t>
            </w:r>
          </w:p>
        </w:tc>
      </w:tr>
    </w:tbl>
    <w:p>
      <w:pPr>
        <w:spacing w:after="0"/>
      </w:pPr>
      <w:r>
        <w:rPr>
          <w:b w:val="0"/>
        </w:rPr>
      </w:r>
    </w:p>
    <w:p>
      <w:pPr>
        <w:pStyle w:val="Heading2"/>
      </w:pPr>
      <w:r>
        <w:t xml:space="preserve">1.2 MID 2台で実現できる範囲</w:t>
      </w:r>
    </w:p>
    <w:p>
      <w:r>
        <w:rPr>
          <w:b w:val="0"/>
        </w:rPr>
        <w:t xml:space="preserve">まず MID01 と MID02 を一つのサービスプールに入れ、通常接続と片系障害からの復旧を確認します。2台で全端末を受け持つ場合は55Aを優先候補とします。55Cの場合は、2台が同じ到達可能な候補グループに属する必要があります。</w:t>
      </w:r>
    </w:p>
    <w:p>
      <w:r>
        <w:rPr>
          <w:b w:val="0"/>
        </w:rPr>
        <w:t xml:space="preserve">A群を MID01、B群を MID02 のみに接続させると、それぞれが単一障害点になります。両群を混在させず、各群に予備も必要な場合は、各群に少なくとも2台の MID を置く構成を検討します。これは設計提案であり、今回承認済みの増設台数ではありません。</w:t>
      </w:r>
    </w:p>
    <w:p>
      <w:pPr>
        <w:pStyle w:val="Heading2"/>
      </w:pPr>
      <w:r>
        <w:t xml:space="preserve">1.3 お客様に承認いただく選択肢</w:t>
      </w:r>
    </w:p>
    <w:p>
      <w:r>
        <w:rPr>
          <w:b w:val="0"/>
        </w:rPr>
        <w:t xml:space="preserve">基本案は55Aとし、端末単位の固定要件は追加しません。グループ分離が必要な場合、LB 必須なら55D、必須でなければ55Cを評価します。55Bは手動復旧を許容する場合に限定します。「送信元 IP の保持」を有効にするだけでは、端末の恒久固定や業務グループ単位の制御を実現したとはいえません。</w:t>
      </w:r>
    </w:p>
    <w:p>
      <w:pPr>
        <w:pStyle w:val="Heading1"/>
        <w:pageBreakBefore/>
      </w:pPr>
      <w:r>
        <w:t xml:space="preserve">1 課題55 共通 LB 接続先の実装手順</w:t>
      </w:r>
    </w:p>
    <w:p>
      <w:pPr>
        <w:pStyle w:val="Heading2"/>
      </w:pPr>
      <w:r>
        <w:t xml:space="preserve">1.4 推奨案55Aの接続構成</w:t>
      </w:r>
    </w:p>
    <w:p>
      <w:r>
        <w:rPr>
          <w:b w:val="0"/>
        </w:rPr>
        <w:t xml:space="preserve">ACC 端末 → LB の共通接続先 → MID01 または MID02 → ServiceNow</w:t>
        <w:br/>
        <w:t xml:space="preserve">例：acc-lb.example.com:443。ドメインはお客様の実際の値に置き換えます。</w:t>
      </w:r>
    </w:p>
    <w:p>
      <w:r>
        <w:rPr>
          <w:b w:val="0"/>
        </w:rPr>
        <w:t xml:space="preserve">1. 現状を記録します。MID 2台の名称、IP、ACC 待受ポート、バージョン、サービス状態、接続台数を確認します。まず各 MID が単独で試験 ACC を受け入れられることを確認し、MID と LB の問題を同時に切り分ける状況を避けます。</w:t>
      </w:r>
    </w:p>
    <w:p>
      <w:r>
        <w:rPr>
          <w:b w:val="0"/>
        </w:rPr>
        <w:t xml:space="preserve">2. ネットワーク担当が入口とバックエンドプールを作成します。承認済み端末セグメントからの ACC ポートへのアクセスのみ許可し、MID01・MID02を登録します。公式例を参考にヘルスチェック先とタイムアウトを設定します。公式 LB 例は HTTPS 443、アイドルタイムアウト300秒です。[S1]</w:t>
      </w:r>
    </w:p>
    <w:p>
      <w:r>
        <w:rPr>
          <w:b w:val="0"/>
        </w:rPr>
        <w:t xml:space="preserve">3. セキュリティ担当が接続先名、証明書名、信頼チェーンを確認します。TLS を MID まで透過させる場合、両 MID の証明書が共通接続先のホスト名検証を満たす必要があります。証明書検証の無効化で解決しません。</w:t>
      </w:r>
    </w:p>
    <w:p>
      <w:r>
        <w:rPr>
          <w:b w:val="0"/>
        </w:rPr>
        <w:t xml:space="preserve">4. 試験端末1台の acc.yml をバックアップし、下記の接続設定のみ変更します。API Key、証明書パス、その他の設定は維持します。管理下で ACC を再起動し、オンライン状態と収集結果を確認します。</w:t>
      </w:r>
    </w:p>
    <w:p>
      <w:r>
        <w:rPr>
          <w:b w:val="0"/>
        </w:rPr>
        <w:t xml:space="preserve">5. MID 片系停止・復旧、ACC 再起動、メンテナンス時間帯をまたぐ試験の後、小グループ単位で変更します。端末、変更前後の接続先、実際の接続 MID を記録します。</w:t>
      </w:r>
    </w:p>
    <w:p>
      <w:r>
        <w:rPr>
          <w:b/>
        </w:rPr>
        <w:t xml:space="preserve">acc.yml の部分設定例</w:t>
      </w:r>
    </w:p>
    <w:p>
      <w:r>
        <w:rPr>
          <w:b w:val="0"/>
          <w:sz w:val="20"/>
        </w:rPr>
        <w:t>backend-url:</w:t>
        <w:br/>
        <w:t xml:space="preserve">  - wss://acc-lb.example.com:443/ws/events</w:t>
        <w:br/>
        <w:t>enable-auto-mid-selection: false</w:t>
      </w:r>
    </w:p>
    <w:p>
      <w:r>
        <w:rPr>
          <w:b w:val="0"/>
        </w:rPr>
        <w:t xml:space="preserve">注意：これは設定の一部であり、完全な設定ファイルではありません。acc.yml 全体を上書きしないでください。API Key は報告書、チケット添付、Git リポジトリに記載しません。</w:t>
      </w:r>
    </w:p>
    <w:p>
      <w:pPr>
        <w:pStyle w:val="Heading2"/>
      </w:pPr>
      <w:r>
        <w:t xml:space="preserve">1.5 Azure で実装する場合の違い</w:t>
      </w:r>
    </w:p>
    <w:p>
      <w:r>
        <w:rPr>
          <w:b w:val="0"/>
        </w:rPr>
        <w:t xml:space="preserve">Azure Load Balancer はレイヤー4の製品で、TLS 終端や URL パスによるバックエンド選択は行いません。ルールは TCP ポートとして設定し、他製品の「HTTPS リスナー」の画面をそのまま転用しません。ネットワーク担当が公式の汎用例を使用製品の設定に置き換え、検証します。[S17]</w:t>
      </w:r>
    </w:p>
    <w:p>
      <w:r>
        <w:rPr>
          <w:b w:val="0"/>
        </w:rPr>
        <w:t xml:space="preserve">ヘルスチェック正常は監視対象が応答可能という意味で、ACC の空き接続容量を保証しません。WSS のデータ経路と更新パッケージのダウンロード経路を別々に確認します。ACC がオンラインでもダウンロードできるとは限りません。失敗時は対象バッチの接続設定を戻し、変更を拡大しません。</w:t>
      </w:r>
    </w:p>
    <w:p>
      <w:pPr>
        <w:pStyle w:val="Heading1"/>
        <w:pageBreakBefore/>
      </w:pPr>
      <w:r>
        <w:t xml:space="preserve">1 課題55 グループ分離案と合格条件</w:t>
      </w:r>
    </w:p>
    <w:p>
      <w:pPr>
        <w:pStyle w:val="Heading2"/>
      </w:pPr>
      <w:r>
        <w:t xml:space="preserve">1.6 55C：Capability で候補 MID を限定する</w:t>
      </w:r>
    </w:p>
    <w:p>
      <w:r>
        <w:rPr>
          <w:b w:val="0"/>
        </w:rPr>
        <w:t xml:space="preserve">公式根拠：Is ACC Capability=true の能力により、自動選択の候補 MID を絞り込めます。公式例では A と C に同じ ACC 能力を設定し、Bには別の能力を設定します。Aに接続したエージェントはCを候補にできます。[S14][S15]</w:t>
      </w:r>
    </w:p>
    <w:p>
      <w:r>
        <w:rPr>
          <w:b w:val="0"/>
        </w:rPr>
        <w:t xml:space="preserve">1. 「端末群・主 MID・予備 MID・到達可能なセグメント」の一覧を作ります。最初は1群と2台で確認し、全体の能力設定を同時に変更しません。Capability は機能上の選別であり、ファイアウォールによる分離の代わりにはなりません。</w:t>
      </w:r>
    </w:p>
    <w:p>
      <w:r>
        <w:rPr>
          <w:b w:val="0"/>
        </w:rPr>
        <w:t xml:space="preserve">2. MID Server &gt; Capabilities で AgentClientCollector と必要な能力の Is ACC Capability を確認します。各 MID の Default View &gt; Capabilities で能力を関連付け、同一群の候補は一致させ、群外候補は設計どおり除外します。[S14][S15]</w:t>
      </w:r>
    </w:p>
    <w:p>
      <w:r>
        <w:rPr>
          <w:b w:val="0"/>
        </w:rPr>
        <w:t xml:space="preserve">3. 管理された範囲で自動 MID 選択を有効にします。sn_agent.enable_auto_mid_selection と端末側の実設定を現行バージョンに合わせて確認します。初回は同じ群の MID に接続し、MID Server Selection ジョブを実行して候補結果を確認します。</w:t>
      </w:r>
    </w:p>
    <w:p>
      <w:r>
        <w:rPr>
          <w:b w:val="0"/>
        </w:rPr>
        <w:t xml:space="preserve">4. 主 MID の障害を模擬し、群内の予備 MID に接続し、除外した群に接続しないことを確認します。選別や引継ぎが失敗したら能力・接続設定を戻し、単一群に絞って調査します。</w:t>
      </w:r>
    </w:p>
    <w:p>
      <w:r>
        <w:rPr>
          <w:b w:val="0"/>
        </w:rPr>
        <w:t xml:space="preserve">設定上の注意：一部公式ページでは端末側キーがアンダースコア形式ですが、LB ページは enable-auto-mid-selection を使用しています。両方のキーを書かず、現行パッケージの acc.yml と当該版の設定資料を照合し、動作確認後に展開します。[S1][S16]</w:t>
      </w:r>
    </w:p>
    <w:p>
      <w:pPr>
        <w:pStyle w:val="Heading2"/>
      </w:pPr>
      <w:r>
        <w:t xml:space="preserve">1.7 55D：LB を維持してグループを分ける</w:t>
      </w:r>
    </w:p>
    <w:p>
      <w:r>
        <w:rPr>
          <w:b w:val="0"/>
        </w:rPr>
        <w:t xml:space="preserve">ネットワーク担当が、群ごとに独立したフロントエンド IP または入口とバックエンドプールを設計し、各群の ACC に接続先を設定します。同じ IP に DNS 名を二つ付けるだけでは、レイヤー4 LB は端末群を識別しません。1プール1 MID では群内の予備がありません。使用する LB 製品での検証が必要な設計候補です。</w:t>
      </w:r>
    </w:p>
    <w:p>
      <w:pPr>
        <w:pStyle w:val="Heading2"/>
      </w:pPr>
      <w:r>
        <w:t xml:space="preserve">1.8 課題55の完了条件</w:t>
      </w:r>
    </w:p>
    <w:p>
      <w:r>
        <w:rPr>
          <w:b w:val="0"/>
        </w:rPr>
        <w:t xml:space="preserve">通常時の端末と MID の対応、ACC 再起動後の接続結果、主 MID 障害からデータ復旧までの時間、主 MID 復旧後の安定性の4種類の証跡を保存します。分離案では群外 MID に接続していないことも証明します。</w:t>
      </w:r>
    </w:p>
    <w:p>
      <w:r>
        <w:rPr>
          <w:b w:val="0"/>
        </w:rPr>
        <w:t xml:space="preserve">合格条件の提案：全試験端末がオンラインとなり、収集が復旧し、継続的な再接続や群外接続がないこと。復旧時間はお客様が承認した上限を用います。未達なら元の接続先に戻してログを保持します。LB の正常判定や候補一覧だけで合格にしません。</w:t>
      </w:r>
    </w:p>
    <w:p>
      <w:pPr>
        <w:pStyle w:val="Heading1"/>
        <w:pageBreakBefore/>
      </w:pPr>
      <w:r>
        <w:t xml:space="preserve">2 課題56 MID ごとの接続上限設定</w:t>
      </w:r>
    </w:p>
    <w:p>
      <w:pPr>
        <w:pStyle w:val="Heading2"/>
      </w:pPr>
      <w:r>
        <w:t xml:space="preserve">2.1 推奨案とプロパティの意味</w:t>
      </w:r>
    </w:p>
    <w:p>
      <w:r>
        <w:rPr>
          <w:b w:val="0"/>
        </w:rPr>
        <w:t xml:space="preserve">公式根拠：sn_agent.mid.max_allowed_agents は MID 1台の ACC 接続上限を制御し、文書上の既定値は4000です。MID Server プロパティは個別 MID を指定でき、MID 欄が空なら全 MID に適用されます。[S4][S5]</w:t>
      </w:r>
    </w:p>
    <w:p>
      <w:r>
        <w:rPr>
          <w:b w:val="0"/>
        </w:rPr>
        <w:t xml:space="preserve">「個別プロパティ・容量アラート・予備容量」の組合せを推奨します。最初は試験 MID の個別設定とし、全体値を先に変更しません。更新による上書きや設定元の分散を避けるため、MID ローカルの glide.properties に手書きしません。[S5]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680"/>
        <w:gridCol w:w="3312"/>
      </w:tblGrid>
      <w:tr>
        <w:trPr>
          <w:cantSplit/>
          <w:tblHeader/>
        </w:trPr>
        <w:tc>
          <w:tcPr>
            <w:tcW w:type="dxa" w:w="2088"/>
            <w:vAlign w:val="center"/>
            <w:tcMar>
              <w:top w:w="90" w:type="dxa"/>
              <w:bottom w:w="90" w:type="dxa"/>
              <w:left w:w="90" w:type="dxa"/>
              <w:right w:w="90" w:type="dxa"/>
            </w:tcMar>
            <w:shd w:fill="F1F1F1"/>
          </w:tcPr>
          <w:p>
            <w:pPr>
              <w:spacing w:line="300" w:lineRule="exact" w:after="0"/>
            </w:pPr>
            <w:r>
              <w:rPr>
                <w:b/>
                <w:sz w:val="20"/>
              </w:rPr>
              <w:t xml:space="preserve">画面・フィールド</w:t>
            </w:r>
          </w:p>
        </w:tc>
        <w:tc>
          <w:tcPr>
            <w:tcW w:type="dxa" w:w="4680"/>
            <w:vAlign w:val="center"/>
            <w:tcMar>
              <w:top w:w="90" w:type="dxa"/>
              <w:bottom w:w="90" w:type="dxa"/>
              <w:left w:w="90" w:type="dxa"/>
              <w:right w:w="90" w:type="dxa"/>
            </w:tcMar>
            <w:shd w:fill="F1F1F1"/>
          </w:tcPr>
          <w:p>
            <w:pPr>
              <w:spacing w:line="300" w:lineRule="exact" w:after="0"/>
            </w:pPr>
            <w:r>
              <w:rPr>
                <w:b/>
                <w:sz w:val="20"/>
              </w:rPr>
              <w:t xml:space="preserve">設定例</w:t>
            </w:r>
          </w:p>
        </w:tc>
        <w:tc>
          <w:tcPr>
            <w:tcW w:type="dxa" w:w="3312"/>
            <w:vAlign w:val="center"/>
            <w:tcMar>
              <w:top w:w="90" w:type="dxa"/>
              <w:bottom w:w="90" w:type="dxa"/>
              <w:left w:w="90" w:type="dxa"/>
              <w:right w:w="90" w:type="dxa"/>
            </w:tcMar>
            <w:shd w:fill="F1F1F1"/>
          </w:tcPr>
          <w:p>
            <w:pPr>
              <w:spacing w:line="300" w:lineRule="exact" w:after="0"/>
            </w:pPr>
            <w:r>
              <w:rPr>
                <w:b/>
                <w:sz w:val="20"/>
              </w:rPr>
              <w:t xml:space="preserve">意味</w:t>
            </w:r>
          </w:p>
        </w:tc>
      </w:tr>
      <w:tr>
        <w:trPr>
          <w:cantSplit/>
        </w:trPr>
        <w:tc>
          <w:tcPr>
            <w:tcW w:type="dxa" w:w="2088"/>
            <w:vAlign w:val="center"/>
            <w:tcMar>
              <w:top w:w="90" w:type="dxa"/>
              <w:bottom w:w="90" w:type="dxa"/>
              <w:left w:w="90" w:type="dxa"/>
              <w:right w:w="90" w:type="dxa"/>
            </w:tcMar>
          </w:tcPr>
          <w:p>
            <w:pPr>
              <w:spacing w:line="300" w:lineRule="exact" w:after="0"/>
            </w:pPr>
            <w:r>
              <w:rPr>
                <w:b w:val="0"/>
                <w:sz w:val="20"/>
              </w:rPr>
              <w:t xml:space="preserve">画面</w:t>
            </w:r>
          </w:p>
        </w:tc>
        <w:tc>
          <w:tcPr>
            <w:tcW w:type="dxa" w:w="4680"/>
            <w:vAlign w:val="center"/>
            <w:tcMar>
              <w:top w:w="90" w:type="dxa"/>
              <w:bottom w:w="90" w:type="dxa"/>
              <w:left w:w="90" w:type="dxa"/>
              <w:right w:w="90" w:type="dxa"/>
            </w:tcMar>
          </w:tcPr>
          <w:p>
            <w:pPr>
              <w:spacing w:line="300" w:lineRule="exact" w:after="0"/>
            </w:pPr>
            <w:r>
              <w:rPr>
                <w:b w:val="0"/>
                <w:sz w:val="20"/>
              </w:rPr>
              <w:t xml:space="preserve">MID Server &gt; Properties</w:t>
            </w:r>
          </w:p>
        </w:tc>
        <w:tc>
          <w:tcPr>
            <w:tcW w:type="dxa" w:w="3312"/>
            <w:vAlign w:val="center"/>
            <w:tcMar>
              <w:top w:w="90" w:type="dxa"/>
              <w:bottom w:w="90" w:type="dxa"/>
              <w:left w:w="90" w:type="dxa"/>
              <w:right w:w="90" w:type="dxa"/>
            </w:tcMar>
          </w:tcPr>
          <w:p>
            <w:pPr>
              <w:spacing w:line="300" w:lineRule="exact" w:after="0"/>
            </w:pPr>
            <w:r>
              <w:rPr>
                <w:b w:val="0"/>
                <w:sz w:val="20"/>
              </w:rPr>
              <w:t xml:space="preserve">ecc_agent_property に対応</w:t>
            </w:r>
          </w:p>
        </w:tc>
      </w:tr>
      <w:tr>
        <w:trPr>
          <w:cantSplit/>
        </w:trPr>
        <w:tc>
          <w:tcPr>
            <w:tcW w:type="dxa" w:w="2088"/>
            <w:vAlign w:val="center"/>
            <w:tcMar>
              <w:top w:w="90" w:type="dxa"/>
              <w:bottom w:w="90" w:type="dxa"/>
              <w:left w:w="90" w:type="dxa"/>
              <w:right w:w="90" w:type="dxa"/>
            </w:tcMar>
          </w:tcPr>
          <w:p>
            <w:pPr>
              <w:spacing w:line="300" w:lineRule="exact" w:after="0"/>
            </w:pPr>
            <w:r>
              <w:rPr>
                <w:b w:val="0"/>
                <w:sz w:val="20"/>
              </w:rPr>
              <w:t xml:space="preserve">Name</w:t>
            </w:r>
          </w:p>
        </w:tc>
        <w:tc>
          <w:tcPr>
            <w:tcW w:type="dxa" w:w="4680"/>
            <w:vAlign w:val="center"/>
            <w:tcMar>
              <w:top w:w="90" w:type="dxa"/>
              <w:bottom w:w="90" w:type="dxa"/>
              <w:left w:w="90" w:type="dxa"/>
              <w:right w:w="90" w:type="dxa"/>
            </w:tcMar>
          </w:tcPr>
          <w:p>
            <w:pPr>
              <w:spacing w:line="300" w:lineRule="exact" w:after="0"/>
            </w:pPr>
            <w:r>
              <w:rPr>
                <w:b w:val="0"/>
                <w:sz w:val="20"/>
              </w:rPr>
              <w:t xml:space="preserve">sn_agent.mid.max_allowed_agents</w:t>
            </w:r>
          </w:p>
        </w:tc>
        <w:tc>
          <w:tcPr>
            <w:tcW w:type="dxa" w:w="3312"/>
            <w:vAlign w:val="center"/>
            <w:tcMar>
              <w:top w:w="90" w:type="dxa"/>
              <w:bottom w:w="90" w:type="dxa"/>
              <w:left w:w="90" w:type="dxa"/>
              <w:right w:w="90" w:type="dxa"/>
            </w:tcMar>
          </w:tcPr>
          <w:p>
            <w:pPr>
              <w:spacing w:line="300" w:lineRule="exact" w:after="0"/>
            </w:pPr>
            <w:r>
              <w:rPr>
                <w:b w:val="0"/>
                <w:sz w:val="20"/>
              </w:rPr>
              <w:t xml:space="preserve">ACC 接続上限</w:t>
            </w:r>
          </w:p>
        </w:tc>
      </w:tr>
      <w:tr>
        <w:trPr>
          <w:cantSplit/>
        </w:trPr>
        <w:tc>
          <w:tcPr>
            <w:tcW w:type="dxa" w:w="2088"/>
            <w:vAlign w:val="center"/>
            <w:tcMar>
              <w:top w:w="90" w:type="dxa"/>
              <w:bottom w:w="90" w:type="dxa"/>
              <w:left w:w="90" w:type="dxa"/>
              <w:right w:w="90" w:type="dxa"/>
            </w:tcMar>
          </w:tcPr>
          <w:p>
            <w:pPr>
              <w:spacing w:line="300" w:lineRule="exact" w:after="0"/>
            </w:pPr>
            <w:r>
              <w:rPr>
                <w:b w:val="0"/>
                <w:sz w:val="20"/>
              </w:rPr>
              <w:t xml:space="preserve">Value</w:t>
            </w:r>
          </w:p>
        </w:tc>
        <w:tc>
          <w:tcPr>
            <w:tcW w:type="dxa" w:w="4680"/>
            <w:vAlign w:val="center"/>
            <w:tcMar>
              <w:top w:w="90" w:type="dxa"/>
              <w:bottom w:w="90" w:type="dxa"/>
              <w:left w:w="90" w:type="dxa"/>
              <w:right w:w="90" w:type="dxa"/>
            </w:tcMar>
          </w:tcPr>
          <w:p>
            <w:pPr>
              <w:spacing w:line="300" w:lineRule="exact" w:after="0"/>
            </w:pPr>
            <w:r>
              <w:rPr>
                <w:b w:val="0"/>
                <w:sz w:val="20"/>
              </w:rPr>
              <w:t xml:space="preserve">1000</w:t>
            </w:r>
          </w:p>
        </w:tc>
        <w:tc>
          <w:tcPr>
            <w:tcW w:type="dxa" w:w="3312"/>
            <w:vAlign w:val="center"/>
            <w:tcMar>
              <w:top w:w="90" w:type="dxa"/>
              <w:bottom w:w="90" w:type="dxa"/>
              <w:left w:w="90" w:type="dxa"/>
              <w:right w:w="90" w:type="dxa"/>
            </w:tcMar>
          </w:tcPr>
          <w:p>
            <w:pPr>
              <w:spacing w:line="300" w:lineRule="exact" w:after="0"/>
            </w:pPr>
            <w:r>
              <w:rPr>
                <w:b w:val="0"/>
                <w:sz w:val="20"/>
              </w:rPr>
              <w:t xml:space="preserve">説明用の例。本番値は容量検証で決定</w:t>
            </w:r>
          </w:p>
        </w:tc>
      </w:tr>
      <w:tr>
        <w:trPr>
          <w:cantSplit/>
        </w:trPr>
        <w:tc>
          <w:tcPr>
            <w:tcW w:type="dxa" w:w="2088"/>
            <w:vAlign w:val="center"/>
            <w:tcMar>
              <w:top w:w="90" w:type="dxa"/>
              <w:bottom w:w="90" w:type="dxa"/>
              <w:left w:w="90" w:type="dxa"/>
              <w:right w:w="90" w:type="dxa"/>
            </w:tcMar>
          </w:tcPr>
          <w:p>
            <w:pPr>
              <w:spacing w:line="300" w:lineRule="exact" w:after="0"/>
            </w:pPr>
            <w:r>
              <w:rPr>
                <w:b w:val="0"/>
                <w:sz w:val="20"/>
              </w:rPr>
              <w:t xml:space="preserve">MID Server</w:t>
            </w:r>
          </w:p>
        </w:tc>
        <w:tc>
          <w:tcPr>
            <w:tcW w:type="dxa" w:w="4680"/>
            <w:vAlign w:val="center"/>
            <w:tcMar>
              <w:top w:w="90" w:type="dxa"/>
              <w:bottom w:w="90" w:type="dxa"/>
              <w:left w:w="90" w:type="dxa"/>
              <w:right w:w="90" w:type="dxa"/>
            </w:tcMar>
          </w:tcPr>
          <w:p>
            <w:pPr>
              <w:spacing w:line="300" w:lineRule="exact" w:after="0"/>
            </w:pPr>
            <w:r>
              <w:rPr>
                <w:b w:val="0"/>
                <w:sz w:val="20"/>
              </w:rPr>
              <w:t xml:space="preserve">MID01</w:t>
            </w:r>
          </w:p>
        </w:tc>
        <w:tc>
          <w:tcPr>
            <w:tcW w:type="dxa" w:w="3312"/>
            <w:vAlign w:val="center"/>
            <w:tcMar>
              <w:top w:w="90" w:type="dxa"/>
              <w:bottom w:w="90" w:type="dxa"/>
              <w:left w:w="90" w:type="dxa"/>
              <w:right w:w="90" w:type="dxa"/>
            </w:tcMar>
          </w:tcPr>
          <w:p>
            <w:pPr>
              <w:spacing w:line="300" w:lineRule="exact" w:after="0"/>
            </w:pPr>
            <w:r>
              <w:rPr>
                <w:b w:val="0"/>
                <w:sz w:val="20"/>
              </w:rPr>
              <w:t xml:space="preserve">指定 MID のみ。誤って空欄にしない</w:t>
            </w:r>
          </w:p>
        </w:tc>
      </w:tr>
    </w:tbl>
    <w:p>
      <w:pPr>
        <w:spacing w:after="0"/>
      </w:pPr>
      <w:r>
        <w:rPr>
          <w:b w:val="0"/>
        </w:rPr>
      </w:r>
    </w:p>
    <w:p>
      <w:pPr>
        <w:pStyle w:val="Heading2"/>
      </w:pPr>
      <w:r>
        <w:t xml:space="preserve">2.2 実施手順</w:t>
      </w:r>
    </w:p>
    <w:p>
      <w:r>
        <w:rPr>
          <w:b w:val="0"/>
        </w:rPr>
        <w:t xml:space="preserve">1. admin 権限で同名プロパティを検索し、全体設定と各 MID 設定の現在値を記録します。同じ適用範囲に重複があれば、原因を確認・整理してから進め、競合する設定を追加しません。</w:t>
      </w:r>
    </w:p>
    <w:p>
      <w:r>
        <w:rPr>
          <w:b w:val="0"/>
        </w:rPr>
        <w:t xml:space="preserve">2. 隔離試験で MID01 の上限を2、MID02を3などの小さな値にします。変更前の設定と画面を保存します。この試験値をそのまま本番に使用しません。</w:t>
      </w:r>
    </w:p>
    <w:p>
      <w:r>
        <w:rPr>
          <w:b w:val="0"/>
        </w:rPr>
        <w:t xml:space="preserve">3. 公式の属性設定手順に従い、対象 MID を再起動して同期します。1台ずつ実施し、Up・Validated への復帰を確認後、次の MID を処理します。本番では予備容量の確保が前提です。[S5]</w:t>
      </w:r>
    </w:p>
    <w:p>
      <w:r>
        <w:rPr>
          <w:b w:val="0"/>
        </w:rPr>
        <w:t xml:space="preserve">4. 次ページの試験で制限効果を確認します。合格後に試験前の設定へ戻し、容量試験の結果から本番値を設定します。失敗時は元の属性値に戻し、1台ずつ再起動して確認します。</w:t>
      </w:r>
    </w:p>
    <w:p>
      <w:pPr>
        <w:pStyle w:val="Heading2"/>
      </w:pPr>
      <w:r>
        <w:t xml:space="preserve">2.3 お客様に提出する結果</w:t>
      </w:r>
    </w:p>
    <w:p>
      <w:r>
        <w:rPr>
          <w:b w:val="0"/>
        </w:rPr>
        <w:t xml:space="preserve">MID ごとに、承認上限、実測した安定収容台数、警告値、障害時の引継ぎ先、設定画面、上限試験ログを提出します。プロパティ画面だけでは、満杯時にも運用できることの証明にはなりません。</w:t>
      </w:r>
    </w:p>
    <w:p>
      <w:pPr>
        <w:pStyle w:val="Heading1"/>
        <w:pageBreakBefore/>
      </w:pPr>
      <w:r>
        <w:t xml:space="preserve">2 課題56 容量設計と上限到達時の対応</w:t>
      </w:r>
    </w:p>
    <w:p>
      <w:pPr>
        <w:pStyle w:val="Heading2"/>
      </w:pPr>
      <w:r>
        <w:t xml:space="preserve">2.4 接続上限と実用容量は異なる</w:t>
      </w:r>
    </w:p>
    <w:p>
      <w:r>
        <w:rPr>
          <w:b w:val="0"/>
        </w:rPr>
        <w:t xml:space="preserve">実用容量は「設定上限」と「代表的な負荷で安定稼働した実測容量」の小さい方とすることを提案します。負荷には実際の Checks、収集頻度、データ量、更新パッケージのダウンロードを含め、接続成功数だけで評価しません。</w:t>
      </w:r>
    </w:p>
    <w:p>
      <w:r>
        <w:rPr>
          <w:b w:val="0"/>
        </w:rPr>
        <w:t xml:space="preserve">相互に予備となる2台では、どちらかが停止しても残る MID が必要な全接続を引き継げるか確認します。例えば各台1000台を実証済みの場合、追加余裕を除いても合計1000台までが片系障害時に引継ぎ可能な計算であり、2000台ではありません。これは計算例で、性能保証ではありません。</w:t>
      </w:r>
    </w:p>
    <w:p>
      <w:r>
        <w:rPr>
          <w:b w:val="0"/>
        </w:rPr>
        <w:t xml:space="preserve">複数 MID のプールでは「実用容量の合計－最大1台分の容量－運用余裕」を片系障害時の計画目安とします。ネットワーク到達性と再接続の集中も確認します。不足する場合は増設または収容台数削減を検討し、属性値の引上げだけで対応しません。</w:t>
      </w:r>
    </w:p>
    <w:p>
      <w:pPr>
        <w:pStyle w:val="Heading2"/>
      </w:pPr>
      <w:r>
        <w:t xml:space="preserve">2.5 少数端末で制限の有効性を確認する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16"/>
        <w:gridCol w:w="4464"/>
      </w:tblGrid>
      <w:tr>
        <w:trPr>
          <w:cantSplit/>
          <w:tblHeader/>
        </w:trPr>
        <w:tc>
          <w:tcPr>
            <w:tcW w:type="dxa" w:w="1800"/>
            <w:vAlign w:val="center"/>
            <w:tcMar>
              <w:top w:w="90" w:type="dxa"/>
              <w:bottom w:w="90" w:type="dxa"/>
              <w:left w:w="90" w:type="dxa"/>
              <w:right w:w="90" w:type="dxa"/>
            </w:tcMar>
            <w:shd w:fill="F1F1F1"/>
          </w:tcPr>
          <w:p>
            <w:pPr>
              <w:spacing w:line="300" w:lineRule="exact" w:after="0"/>
            </w:pPr>
            <w:r>
              <w:rPr>
                <w:b/>
                <w:sz w:val="20"/>
              </w:rPr>
              <w:t xml:space="preserve">試験</w:t>
            </w:r>
          </w:p>
        </w:tc>
        <w:tc>
          <w:tcPr>
            <w:tcW w:type="dxa" w:w="3816"/>
            <w:vAlign w:val="center"/>
            <w:tcMar>
              <w:top w:w="90" w:type="dxa"/>
              <w:bottom w:w="90" w:type="dxa"/>
              <w:left w:w="90" w:type="dxa"/>
              <w:right w:w="90" w:type="dxa"/>
            </w:tcMar>
            <w:shd w:fill="F1F1F1"/>
          </w:tcPr>
          <w:p>
            <w:pPr>
              <w:spacing w:line="300" w:lineRule="exact" w:after="0"/>
            </w:pPr>
            <w:r>
              <w:rPr>
                <w:b/>
                <w:sz w:val="20"/>
              </w:rPr>
              <w:t xml:space="preserve">操作</w:t>
            </w:r>
          </w:p>
        </w:tc>
        <w:tc>
          <w:tcPr>
            <w:tcW w:type="dxa" w:w="4464"/>
            <w:vAlign w:val="center"/>
            <w:tcMar>
              <w:top w:w="90" w:type="dxa"/>
              <w:bottom w:w="90" w:type="dxa"/>
              <w:left w:w="90" w:type="dxa"/>
              <w:right w:w="90" w:type="dxa"/>
            </w:tcMar>
            <w:shd w:fill="F1F1F1"/>
          </w:tcPr>
          <w:p>
            <w:pPr>
              <w:spacing w:line="300" w:lineRule="exact" w:after="0"/>
            </w:pPr>
            <w:r>
              <w:rPr>
                <w:b/>
                <w:sz w:val="20"/>
              </w:rPr>
              <w:t xml:space="preserve">確認する結果</w:t>
            </w:r>
          </w:p>
        </w:tc>
      </w:tr>
      <w:tr>
        <w:trPr>
          <w:cantSplit/>
        </w:trPr>
        <w:tc>
          <w:tcPr>
            <w:tcW w:type="dxa" w:w="1800"/>
            <w:vAlign w:val="center"/>
            <w:tcMar>
              <w:top w:w="90" w:type="dxa"/>
              <w:bottom w:w="90" w:type="dxa"/>
              <w:left w:w="90" w:type="dxa"/>
              <w:right w:w="90" w:type="dxa"/>
            </w:tcMar>
          </w:tcPr>
          <w:p>
            <w:pPr>
              <w:spacing w:line="300" w:lineRule="exact" w:after="0"/>
            </w:pPr>
            <w:r>
              <w:rPr>
                <w:b w:val="0"/>
                <w:sz w:val="20"/>
              </w:rPr>
              <w:t xml:space="preserve">個別上限</w:t>
            </w:r>
          </w:p>
        </w:tc>
        <w:tc>
          <w:tcPr>
            <w:tcW w:type="dxa" w:w="3816"/>
            <w:vAlign w:val="center"/>
            <w:tcMar>
              <w:top w:w="90" w:type="dxa"/>
              <w:bottom w:w="90" w:type="dxa"/>
              <w:left w:w="90" w:type="dxa"/>
              <w:right w:w="90" w:type="dxa"/>
            </w:tcMar>
          </w:tcPr>
          <w:p>
            <w:pPr>
              <w:spacing w:line="300" w:lineRule="exact" w:after="0"/>
            </w:pPr>
            <w:r>
              <w:rPr>
                <w:b w:val="0"/>
                <w:sz w:val="20"/>
              </w:rPr>
              <w:t xml:space="preserve">MID01は2、MID02は3とし順次接続</w:t>
            </w:r>
          </w:p>
        </w:tc>
        <w:tc>
          <w:tcPr>
            <w:tcW w:type="dxa" w:w="4464"/>
            <w:vAlign w:val="center"/>
            <w:tcMar>
              <w:top w:w="90" w:type="dxa"/>
              <w:bottom w:w="90" w:type="dxa"/>
              <w:left w:w="90" w:type="dxa"/>
              <w:right w:w="90" w:type="dxa"/>
            </w:tcMar>
          </w:tcPr>
          <w:p>
            <w:pPr>
              <w:spacing w:line="300" w:lineRule="exact" w:after="0"/>
            </w:pPr>
            <w:r>
              <w:rPr>
                <w:b w:val="0"/>
                <w:sz w:val="20"/>
              </w:rPr>
              <w:t xml:space="preserve">各 MID に個別適用される</w:t>
            </w:r>
          </w:p>
        </w:tc>
      </w:tr>
      <w:tr>
        <w:trPr>
          <w:cantSplit/>
        </w:trPr>
        <w:tc>
          <w:tcPr>
            <w:tcW w:type="dxa" w:w="1800"/>
            <w:vAlign w:val="center"/>
            <w:tcMar>
              <w:top w:w="90" w:type="dxa"/>
              <w:bottom w:w="90" w:type="dxa"/>
              <w:left w:w="90" w:type="dxa"/>
              <w:right w:w="90" w:type="dxa"/>
            </w:tcMar>
          </w:tcPr>
          <w:p>
            <w:pPr>
              <w:spacing w:line="300" w:lineRule="exact" w:after="0"/>
            </w:pPr>
            <w:r>
              <w:rPr>
                <w:b w:val="0"/>
                <w:sz w:val="20"/>
              </w:rPr>
              <w:t xml:space="preserve">上限到達</w:t>
            </w:r>
          </w:p>
        </w:tc>
        <w:tc>
          <w:tcPr>
            <w:tcW w:type="dxa" w:w="3816"/>
            <w:vAlign w:val="center"/>
            <w:tcMar>
              <w:top w:w="90" w:type="dxa"/>
              <w:bottom w:w="90" w:type="dxa"/>
              <w:left w:w="90" w:type="dxa"/>
              <w:right w:w="90" w:type="dxa"/>
            </w:tcMar>
          </w:tcPr>
          <w:p>
            <w:pPr>
              <w:spacing w:line="300" w:lineRule="exact" w:after="0"/>
            </w:pPr>
            <w:r>
              <w:rPr>
                <w:b w:val="0"/>
                <w:sz w:val="20"/>
              </w:rPr>
              <w:t xml:space="preserve">MID01を満杯にして別の試験 ACC を接続</w:t>
            </w:r>
          </w:p>
        </w:tc>
        <w:tc>
          <w:tcPr>
            <w:tcW w:type="dxa" w:w="4464"/>
            <w:vAlign w:val="center"/>
            <w:tcMar>
              <w:top w:w="90" w:type="dxa"/>
              <w:bottom w:w="90" w:type="dxa"/>
              <w:left w:w="90" w:type="dxa"/>
              <w:right w:w="90" w:type="dxa"/>
            </w:tcMar>
          </w:tcPr>
          <w:p>
            <w:pPr>
              <w:spacing w:line="300" w:lineRule="exact" w:after="0"/>
            </w:pPr>
            <w:r>
              <w:rPr>
                <w:b w:val="0"/>
                <w:sz w:val="20"/>
              </w:rPr>
              <w:t xml:space="preserve">受付・拒否、ログ、再試行の実動作</w:t>
            </w:r>
          </w:p>
        </w:tc>
      </w:tr>
      <w:tr>
        <w:trPr>
          <w:cantSplit/>
        </w:trPr>
        <w:tc>
          <w:tcPr>
            <w:tcW w:type="dxa" w:w="1800"/>
            <w:vAlign w:val="center"/>
            <w:tcMar>
              <w:top w:w="90" w:type="dxa"/>
              <w:bottom w:w="90" w:type="dxa"/>
              <w:left w:w="90" w:type="dxa"/>
              <w:right w:w="90" w:type="dxa"/>
            </w:tcMar>
          </w:tcPr>
          <w:p>
            <w:pPr>
              <w:spacing w:line="300" w:lineRule="exact" w:after="0"/>
            </w:pPr>
            <w:r>
              <w:rPr>
                <w:b w:val="0"/>
                <w:sz w:val="20"/>
              </w:rPr>
              <w:t xml:space="preserve">LB 満杯時</w:t>
            </w:r>
          </w:p>
        </w:tc>
        <w:tc>
          <w:tcPr>
            <w:tcW w:type="dxa" w:w="3816"/>
            <w:vAlign w:val="center"/>
            <w:tcMar>
              <w:top w:w="90" w:type="dxa"/>
              <w:bottom w:w="90" w:type="dxa"/>
              <w:left w:w="90" w:type="dxa"/>
              <w:right w:w="90" w:type="dxa"/>
            </w:tcMar>
          </w:tcPr>
          <w:p>
            <w:pPr>
              <w:spacing w:line="300" w:lineRule="exact" w:after="0"/>
            </w:pPr>
            <w:r>
              <w:rPr>
                <w:b w:val="0"/>
                <w:sz w:val="20"/>
              </w:rPr>
              <w:t xml:space="preserve">一方が満杯、他方に空きがある状態で再接続</w:t>
            </w:r>
          </w:p>
        </w:tc>
        <w:tc>
          <w:tcPr>
            <w:tcW w:type="dxa" w:w="4464"/>
            <w:vAlign w:val="center"/>
            <w:tcMar>
              <w:top w:w="90" w:type="dxa"/>
              <w:bottom w:w="90" w:type="dxa"/>
              <w:left w:w="90" w:type="dxa"/>
              <w:right w:w="90" w:type="dxa"/>
            </w:tcMar>
          </w:tcPr>
          <w:p>
            <w:pPr>
              <w:spacing w:line="300" w:lineRule="exact" w:after="0"/>
            </w:pPr>
            <w:r>
              <w:rPr>
                <w:b w:val="0"/>
                <w:sz w:val="20"/>
              </w:rPr>
              <w:t xml:space="preserve">実際に移れるか。ヘルスチェックで代替しない</w:t>
            </w:r>
          </w:p>
        </w:tc>
      </w:tr>
      <w:tr>
        <w:trPr>
          <w:cantSplit/>
        </w:trPr>
        <w:tc>
          <w:tcPr>
            <w:tcW w:type="dxa" w:w="1800"/>
            <w:vAlign w:val="center"/>
            <w:tcMar>
              <w:top w:w="90" w:type="dxa"/>
              <w:bottom w:w="90" w:type="dxa"/>
              <w:left w:w="90" w:type="dxa"/>
              <w:right w:w="90" w:type="dxa"/>
            </w:tcMar>
          </w:tcPr>
          <w:p>
            <w:pPr>
              <w:spacing w:line="300" w:lineRule="exact" w:after="0"/>
            </w:pPr>
            <w:r>
              <w:rPr>
                <w:b w:val="0"/>
                <w:sz w:val="20"/>
              </w:rPr>
              <w:t xml:space="preserve">上限引下げ</w:t>
            </w:r>
          </w:p>
        </w:tc>
        <w:tc>
          <w:tcPr>
            <w:tcW w:type="dxa" w:w="3816"/>
            <w:vAlign w:val="center"/>
            <w:tcMar>
              <w:top w:w="90" w:type="dxa"/>
              <w:bottom w:w="90" w:type="dxa"/>
              <w:left w:w="90" w:type="dxa"/>
              <w:right w:w="90" w:type="dxa"/>
            </w:tcMar>
          </w:tcPr>
          <w:p>
            <w:pPr>
              <w:spacing w:line="300" w:lineRule="exact" w:after="0"/>
            </w:pPr>
            <w:r>
              <w:rPr>
                <w:b w:val="0"/>
                <w:sz w:val="20"/>
              </w:rPr>
              <w:t xml:space="preserve">試験環境のみで既存接続数より上限を下げる</w:t>
            </w:r>
          </w:p>
        </w:tc>
        <w:tc>
          <w:tcPr>
            <w:tcW w:type="dxa" w:w="4464"/>
            <w:vAlign w:val="center"/>
            <w:tcMar>
              <w:top w:w="90" w:type="dxa"/>
              <w:bottom w:w="90" w:type="dxa"/>
              <w:left w:w="90" w:type="dxa"/>
              <w:right w:w="90" w:type="dxa"/>
            </w:tcMar>
          </w:tcPr>
          <w:p>
            <w:pPr>
              <w:spacing w:line="300" w:lineRule="exact" w:after="0"/>
            </w:pPr>
            <w:r>
              <w:rPr>
                <w:b w:val="0"/>
                <w:sz w:val="20"/>
              </w:rPr>
              <w:t xml:space="preserve">既存接続の保持と新規接続の扱い</w:t>
            </w:r>
          </w:p>
        </w:tc>
      </w:tr>
      <w:tr>
        <w:trPr>
          <w:cantSplit/>
        </w:trPr>
        <w:tc>
          <w:tcPr>
            <w:tcW w:type="dxa" w:w="1800"/>
            <w:vAlign w:val="center"/>
            <w:tcMar>
              <w:top w:w="90" w:type="dxa"/>
              <w:bottom w:w="90" w:type="dxa"/>
              <w:left w:w="90" w:type="dxa"/>
              <w:right w:w="90" w:type="dxa"/>
            </w:tcMar>
          </w:tcPr>
          <w:p>
            <w:pPr>
              <w:spacing w:line="300" w:lineRule="exact" w:after="0"/>
            </w:pPr>
            <w:r>
              <w:rPr>
                <w:b w:val="0"/>
                <w:sz w:val="20"/>
              </w:rPr>
              <w:t xml:space="preserve">障害・復旧</w:t>
            </w:r>
          </w:p>
        </w:tc>
        <w:tc>
          <w:tcPr>
            <w:tcW w:type="dxa" w:w="3816"/>
            <w:vAlign w:val="center"/>
            <w:tcMar>
              <w:top w:w="90" w:type="dxa"/>
              <w:bottom w:w="90" w:type="dxa"/>
              <w:left w:w="90" w:type="dxa"/>
              <w:right w:w="90" w:type="dxa"/>
            </w:tcMar>
          </w:tcPr>
          <w:p>
            <w:pPr>
              <w:spacing w:line="300" w:lineRule="exact" w:after="0"/>
            </w:pPr>
            <w:r>
              <w:rPr>
                <w:b w:val="0"/>
                <w:sz w:val="20"/>
              </w:rPr>
              <w:t xml:space="preserve">片系停止・復旧後、少なくとも1収集周期を観測</w:t>
            </w:r>
          </w:p>
        </w:tc>
        <w:tc>
          <w:tcPr>
            <w:tcW w:type="dxa" w:w="4464"/>
            <w:vAlign w:val="center"/>
            <w:tcMar>
              <w:top w:w="90" w:type="dxa"/>
              <w:bottom w:w="90" w:type="dxa"/>
              <w:left w:w="90" w:type="dxa"/>
              <w:right w:w="90" w:type="dxa"/>
            </w:tcMar>
          </w:tcPr>
          <w:p>
            <w:pPr>
              <w:spacing w:line="300" w:lineRule="exact" w:after="0"/>
            </w:pPr>
            <w:r>
              <w:rPr>
                <w:b w:val="0"/>
                <w:sz w:val="20"/>
              </w:rPr>
              <w:t xml:space="preserve">データ復旧、継続的な再接続・滞留がない</w:t>
            </w:r>
          </w:p>
        </w:tc>
      </w:tr>
    </w:tbl>
    <w:p>
      <w:pPr>
        <w:spacing w:after="0"/>
      </w:pPr>
      <w:r>
        <w:rPr>
          <w:b w:val="0"/>
        </w:rPr>
      </w:r>
    </w:p>
    <w:p>
      <w:pPr>
        <w:pStyle w:val="Heading2"/>
      </w:pPr>
      <w:r>
        <w:t xml:space="preserve">2.6 警告値に達した場合の対応</w:t>
      </w:r>
    </w:p>
    <w:p>
      <w:r>
        <w:rPr>
          <w:b w:val="0"/>
        </w:rPr>
        <w:t xml:space="preserve">初期案として承認済み実用容量の80%で警告し、CPU、メモリ、収集遅延と併せて判断します。80%は本書の提案で、公式既定値ではありません。警告後は新規接続と更新速度の引上げを止め、正常な予備 MID の空き容量を確認します。</w:t>
      </w:r>
    </w:p>
    <w:p>
      <w:r>
        <w:rPr>
          <w:b w:val="0"/>
        </w:rPr>
        <w:t xml:space="preserve">自動選択方式では前提条件を満たしたうえで Try redistributing connected agents を実行し、台数の変化を確認できます。ただし再分配を試みる機能であり、指定台数の移動を保証しません。[S16] 自動選択を無効にした LB 方式ではこの操作に依存せず、ネットワーク・端末担当が承認済みの接続受入停止と小分けの再接続を検証します。全 ACC を一斉再起動しません。</w:t>
      </w:r>
    </w:p>
    <w:p>
      <w:pPr>
        <w:pStyle w:val="Heading1"/>
        <w:pageBreakBefore/>
      </w:pPr>
      <w:r>
        <w:t xml:space="preserve">3 課題57 約30万台の更新方式の選定</w:t>
      </w:r>
    </w:p>
    <w:p>
      <w:pPr>
        <w:pStyle w:val="Heading2"/>
      </w:pPr>
      <w:r>
        <w:t xml:space="preserve">3.1 推奨方式と適用条件</w:t>
      </w:r>
    </w:p>
    <w:p>
      <w:r>
        <w:rPr>
          <w:b w:val="0"/>
        </w:rPr>
        <w:t xml:space="preserve">主案は、バージョン互換性、実行権限、ダウンロード経路を確認し、ACC－MID 間で mTLS を使用しない場合に、小規模試験後、ServiceNow 標準定期ジョブで台数制限付き更新を行う方式です。[S6][S8]</w:t>
      </w:r>
    </w:p>
    <w:p>
      <w:r>
        <w:rPr>
          <w:b w:val="0"/>
        </w:rPr>
        <w:t xml:space="preserve">重要な違い：標準の大規模更新は条件を満たすエージェントを処理します。台数制限は進行速度の制御であり、特定部門への限定ではありません。画面の一覧フィルターや Application scope を業務上のバッチ境界とみなしません。「A部門だけ更新し、承認前にB部門へ一切触れない」要件には、対象集合を明示できる方式を選びます。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240"/>
        <w:gridCol w:w="4464"/>
      </w:tblGrid>
      <w:tr>
        <w:trPr>
          <w:cantSplit/>
          <w:tblHeader/>
        </w:trPr>
        <w:tc>
          <w:tcPr>
            <w:tcW w:type="dxa" w:w="2376"/>
            <w:vAlign w:val="center"/>
            <w:tcMar>
              <w:top w:w="90" w:type="dxa"/>
              <w:bottom w:w="90" w:type="dxa"/>
              <w:left w:w="90" w:type="dxa"/>
              <w:right w:w="90" w:type="dxa"/>
            </w:tcMar>
            <w:shd w:fill="F1F1F1"/>
          </w:tcPr>
          <w:p>
            <w:pPr>
              <w:spacing w:line="300" w:lineRule="exact" w:after="0"/>
            </w:pPr>
            <w:r>
              <w:rPr>
                <w:b/>
                <w:sz w:val="20"/>
              </w:rPr>
              <w:t xml:space="preserve">実行方式</w:t>
            </w:r>
          </w:p>
        </w:tc>
        <w:tc>
          <w:tcPr>
            <w:tcW w:type="dxa" w:w="3240"/>
            <w:vAlign w:val="center"/>
            <w:tcMar>
              <w:top w:w="90" w:type="dxa"/>
              <w:bottom w:w="90" w:type="dxa"/>
              <w:left w:w="90" w:type="dxa"/>
              <w:right w:w="90" w:type="dxa"/>
            </w:tcMar>
            <w:shd w:fill="F1F1F1"/>
          </w:tcPr>
          <w:p>
            <w:pPr>
              <w:spacing w:line="300" w:lineRule="exact" w:after="0"/>
            </w:pPr>
            <w:r>
              <w:rPr>
                <w:b/>
                <w:sz w:val="20"/>
              </w:rPr>
              <w:t xml:space="preserve">適用条件</w:t>
            </w:r>
          </w:p>
        </w:tc>
        <w:tc>
          <w:tcPr>
            <w:tcW w:type="dxa" w:w="4464"/>
            <w:vAlign w:val="center"/>
            <w:tcMar>
              <w:top w:w="90" w:type="dxa"/>
              <w:bottom w:w="90" w:type="dxa"/>
              <w:left w:w="90" w:type="dxa"/>
              <w:right w:w="90" w:type="dxa"/>
            </w:tcMar>
            <w:shd w:fill="F1F1F1"/>
          </w:tcPr>
          <w:p>
            <w:pPr>
              <w:spacing w:line="300" w:lineRule="exact" w:after="0"/>
            </w:pPr>
            <w:r>
              <w:rPr>
                <w:b/>
                <w:sz w:val="20"/>
              </w:rPr>
              <w:t xml:space="preserve">実施上の提案</w:t>
            </w:r>
          </w:p>
        </w:tc>
      </w:tr>
      <w:tr>
        <w:trPr>
          <w:cantSplit/>
        </w:trPr>
        <w:tc>
          <w:tcPr>
            <w:tcW w:type="dxa" w:w="2376"/>
            <w:vAlign w:val="center"/>
            <w:tcMar>
              <w:top w:w="90" w:type="dxa"/>
              <w:bottom w:w="90" w:type="dxa"/>
              <w:left w:w="90" w:type="dxa"/>
              <w:right w:w="90" w:type="dxa"/>
            </w:tcMar>
          </w:tcPr>
          <w:p>
            <w:pPr>
              <w:spacing w:line="300" w:lineRule="exact" w:after="0"/>
            </w:pPr>
            <w:r>
              <w:rPr>
                <w:b w:val="0"/>
                <w:sz w:val="20"/>
              </w:rPr>
              <w:t xml:space="preserve">ServiceNow 定期更新</w:t>
            </w:r>
          </w:p>
        </w:tc>
        <w:tc>
          <w:tcPr>
            <w:tcW w:type="dxa" w:w="3240"/>
            <w:vAlign w:val="center"/>
            <w:tcMar>
              <w:top w:w="90" w:type="dxa"/>
              <w:bottom w:w="90" w:type="dxa"/>
              <w:left w:w="90" w:type="dxa"/>
              <w:right w:w="90" w:type="dxa"/>
            </w:tcMar>
          </w:tcPr>
          <w:p>
            <w:pPr>
              <w:spacing w:line="300" w:lineRule="exact" w:after="0"/>
            </w:pPr>
            <w:r>
              <w:rPr>
                <w:b w:val="0"/>
                <w:sz w:val="20"/>
              </w:rPr>
              <w:t xml:space="preserve">対象条件を満たす端末の順次更新を許容</w:t>
            </w:r>
          </w:p>
        </w:tc>
        <w:tc>
          <w:tcPr>
            <w:tcW w:type="dxa" w:w="4464"/>
            <w:vAlign w:val="center"/>
            <w:tcMar>
              <w:top w:w="90" w:type="dxa"/>
              <w:bottom w:w="90" w:type="dxa"/>
              <w:left w:w="90" w:type="dxa"/>
              <w:right w:w="90" w:type="dxa"/>
            </w:tcMar>
          </w:tcPr>
          <w:p>
            <w:pPr>
              <w:spacing w:line="300" w:lineRule="exact" w:after="0"/>
            </w:pPr>
            <w:r>
              <w:rPr>
                <w:b w:val="0"/>
                <w:sz w:val="20"/>
              </w:rPr>
              <w:t xml:space="preserve">主案。試験後、台数と作業時間を制御</w:t>
            </w:r>
          </w:p>
        </w:tc>
      </w:tr>
      <w:tr>
        <w:trPr>
          <w:cantSplit/>
        </w:trPr>
        <w:tc>
          <w:tcPr>
            <w:tcW w:type="dxa" w:w="2376"/>
            <w:vAlign w:val="center"/>
            <w:tcMar>
              <w:top w:w="90" w:type="dxa"/>
              <w:bottom w:w="90" w:type="dxa"/>
              <w:left w:w="90" w:type="dxa"/>
              <w:right w:w="90" w:type="dxa"/>
            </w:tcMar>
          </w:tcPr>
          <w:p>
            <w:pPr>
              <w:spacing w:line="300" w:lineRule="exact" w:after="0"/>
            </w:pPr>
            <w:r>
              <w:rPr>
                <w:b w:val="0"/>
                <w:sz w:val="20"/>
              </w:rPr>
              <w:t xml:space="preserve">選択的更新</w:t>
            </w:r>
          </w:p>
        </w:tc>
        <w:tc>
          <w:tcPr>
            <w:tcW w:type="dxa" w:w="3240"/>
            <w:vAlign w:val="center"/>
            <w:tcMar>
              <w:top w:w="90" w:type="dxa"/>
              <w:bottom w:w="90" w:type="dxa"/>
              <w:left w:w="90" w:type="dxa"/>
              <w:right w:w="90" w:type="dxa"/>
            </w:tcMar>
          </w:tcPr>
          <w:p>
            <w:pPr>
              <w:spacing w:line="300" w:lineRule="exact" w:after="0"/>
            </w:pPr>
            <w:r>
              <w:rPr>
                <w:b w:val="0"/>
                <w:sz w:val="20"/>
              </w:rPr>
              <w:t xml:space="preserve">少数試験または失敗端末の補修</w:t>
            </w:r>
          </w:p>
        </w:tc>
        <w:tc>
          <w:tcPr>
            <w:tcW w:type="dxa" w:w="4464"/>
            <w:vAlign w:val="center"/>
            <w:tcMar>
              <w:top w:w="90" w:type="dxa"/>
              <w:bottom w:w="90" w:type="dxa"/>
              <w:left w:w="90" w:type="dxa"/>
              <w:right w:w="90" w:type="dxa"/>
            </w:tcMar>
          </w:tcPr>
          <w:p>
            <w:pPr>
              <w:spacing w:line="300" w:lineRule="exact" w:after="0"/>
            </w:pPr>
            <w:r>
              <w:rPr>
                <w:b w:val="0"/>
                <w:sz w:val="20"/>
              </w:rPr>
              <w:t xml:space="preserve">選択端末に実行。30万台を手作業で選択しない</w:t>
            </w:r>
          </w:p>
        </w:tc>
      </w:tr>
      <w:tr>
        <w:trPr>
          <w:cantSplit/>
        </w:trPr>
        <w:tc>
          <w:tcPr>
            <w:tcW w:type="dxa" w:w="2376"/>
            <w:vAlign w:val="center"/>
            <w:tcMar>
              <w:top w:w="90" w:type="dxa"/>
              <w:bottom w:w="90" w:type="dxa"/>
              <w:left w:w="90" w:type="dxa"/>
              <w:right w:w="90" w:type="dxa"/>
            </w:tcMar>
          </w:tcPr>
          <w:p>
            <w:pPr>
              <w:spacing w:line="300" w:lineRule="exact" w:after="0"/>
            </w:pPr>
            <w:r>
              <w:rPr>
                <w:b w:val="0"/>
                <w:sz w:val="20"/>
              </w:rPr>
              <w:t xml:space="preserve">既存端末配布ツール</w:t>
            </w:r>
          </w:p>
        </w:tc>
        <w:tc>
          <w:tcPr>
            <w:tcW w:type="dxa" w:w="3240"/>
            <w:vAlign w:val="center"/>
            <w:tcMar>
              <w:top w:w="90" w:type="dxa"/>
              <w:bottom w:w="90" w:type="dxa"/>
              <w:left w:w="90" w:type="dxa"/>
              <w:right w:w="90" w:type="dxa"/>
            </w:tcMar>
          </w:tcPr>
          <w:p>
            <w:pPr>
              <w:spacing w:line="300" w:lineRule="exact" w:after="0"/>
            </w:pPr>
            <w:r>
              <w:rPr>
                <w:b w:val="0"/>
                <w:sz w:val="20"/>
              </w:rPr>
              <w:t xml:space="preserve">端末群の厳密な制御、mTLS 等の制約</w:t>
            </w:r>
          </w:p>
        </w:tc>
        <w:tc>
          <w:tcPr>
            <w:tcW w:type="dxa" w:w="4464"/>
            <w:vAlign w:val="center"/>
            <w:tcMar>
              <w:top w:w="90" w:type="dxa"/>
              <w:bottom w:w="90" w:type="dxa"/>
              <w:left w:w="90" w:type="dxa"/>
              <w:right w:w="90" w:type="dxa"/>
            </w:tcMar>
          </w:tcPr>
          <w:p>
            <w:pPr>
              <w:spacing w:line="300" w:lineRule="exact" w:after="0"/>
            </w:pPr>
            <w:r>
              <w:rPr>
                <w:b w:val="0"/>
                <w:sz w:val="20"/>
              </w:rPr>
              <w:t xml:space="preserve">代替候補。更新パッケージ、検出、設定保持を検証</w:t>
            </w:r>
          </w:p>
        </w:tc>
      </w:tr>
    </w:tbl>
    <w:p>
      <w:pPr>
        <w:spacing w:after="0"/>
      </w:pPr>
      <w:r>
        <w:rPr>
          <w:b w:val="0"/>
        </w:rPr>
      </w:r>
    </w:p>
    <w:p>
      <w:pPr>
        <w:pStyle w:val="Heading2"/>
      </w:pPr>
      <w:r>
        <w:t xml:space="preserve">3.2 mTLS 環境への提案</w:t>
      </w:r>
    </w:p>
    <w:p>
      <w:r>
        <w:rPr>
          <w:b w:val="0"/>
        </w:rPr>
        <w:t xml:space="preserve">公式文書では、ACC－MID 間が mTLS の場合、記載の大規模アップグレード方式は非対応と明示されています。[S6] 既存の安全要件を維持し、承認済みの端末管理ツールでローカル更新する方式を評価します。更新のために一時的に mTLS を無効にしません。代替経路でも対象 ACC バージョンと証明書設定の保持を確認します。</w:t>
      </w:r>
    </w:p>
    <w:p>
      <w:pPr>
        <w:pStyle w:val="Heading2"/>
      </w:pPr>
      <w:r>
        <w:t xml:space="preserve">3.3 MID 2台の試験を30万台の設計に直結させない</w:t>
      </w:r>
    </w:p>
    <w:p>
      <w:r>
        <w:rPr>
          <w:b w:val="0"/>
        </w:rPr>
        <w:t xml:space="preserve">課題55の MID 2台は接続ロジックの試験用であり、30万台の容量保証ではありません。各 MID の接続量、仕様、配置地域、実効処理量、障害時余裕を調べ、容量台帳を作成してから必要台数と期間を算定します。</w:t>
      </w:r>
    </w:p>
    <w:p>
      <w:r>
        <w:rPr>
          <w:b w:val="0"/>
        </w:rPr>
        <w:t xml:space="preserve">「1グループの検証」と「30万台への本番展開承認」を別の判断点にします。現地試験で網羅できない容量・サポート範囲は、コンサルタントが証拠を整理して ServiceNow サポートに確認します。単なる質問の転送ではなく、回答を増設・バッチ判断につなげます。</w:t>
      </w:r>
    </w:p>
    <w:p>
      <w:pPr>
        <w:pStyle w:val="Heading1"/>
        <w:pageBreakBefore/>
      </w:pPr>
      <w:r>
        <w:t xml:space="preserve">3 課題57 標準定期アップグレードの設定手順</w:t>
      </w:r>
    </w:p>
    <w:p>
      <w:pPr>
        <w:pStyle w:val="Heading2"/>
      </w:pPr>
      <w:r>
        <w:t xml:space="preserve">3.4 対象とバージョンを事前に確定する</w:t>
      </w:r>
    </w:p>
    <w:p>
      <w:r>
        <w:rPr>
          <w:b w:val="0"/>
        </w:rPr>
        <w:t xml:space="preserve">1. エージェントの一意な識別子、ホスト名、OS、現在版、MID、オンライン状態、所属群を出力します。「更新条件を満たす」「目標版に到達済み」「オフライン等の例外」に区分し、合計台数と照合します。</w:t>
      </w:r>
    </w:p>
    <w:p>
      <w:r>
        <w:rPr>
          <w:b w:val="0"/>
        </w:rPr>
        <w:t xml:space="preserve">2. インスタンス、ACC Framework、目標エージェントの各バージョンと対応 OS を確認します。実行アカウント、空き容量、ソフトウェア制限を確認します。新規インストール成功を、旧版から設定を保持して更新できる証拠とみなしません。[S6][S12]</w:t>
      </w:r>
    </w:p>
    <w:p>
      <w:r>
        <w:rPr>
          <w:b w:val="0"/>
        </w:rPr>
        <w:t xml:space="preserve">3. 実端末からパッケージをダウンロードし、配布元、署名・ハッシュ、証明書の信頼を確認します。公式記述では MID 接続エージェントは MID から取得可能です。Install Server へのフォールバックは該当する Check の設定が必要で、無条件に有効ではありません。[S6]</w:t>
      </w:r>
    </w:p>
    <w:p>
      <w:r>
        <w:rPr>
          <w:b w:val="0"/>
        </w:rPr>
        <w:t xml:space="preserve">4. 更新プロパティ、定期ジョブ、試験端末設定を保存し、復旧担当と作業時間帯を確定します。API Key や証明書秘密鍵を含むバックアップは管理された場所だけに保管します。</w:t>
      </w:r>
    </w:p>
    <w:p>
      <w:pPr>
        <w:pStyle w:val="Heading2"/>
      </w:pPr>
      <w:r>
        <w:t xml:space="preserve">3.5 プロパティ設定と少数端末の確認</w:t>
      </w:r>
    </w:p>
    <w:p>
      <w:r>
        <w:rPr>
          <w:b w:val="0"/>
        </w:rPr>
        <w:t xml:space="preserve">System Properties &gt; All Properties で sn_agent.auto_upgrade.enabled を確認し、試験準備後に有効化します。承認済み目標版の指定には sn_agent.agent_upgrade_version を使用し、sn_agent.agent_version で代用しません。[S10]</w:t>
      </w:r>
    </w:p>
    <w:p>
      <w:r>
        <w:rPr>
          <w:b w:val="0"/>
        </w:rPr>
        <w:t xml:space="preserve">一括ジョブは無効のまま、1台、続いて実際の OS 構成を含む5～10台を選択して確認します。バージョン、ACC サービス、接続 MID、収集復旧を確認します。概説の50台と別手順の20台には選択上限の記述差があるため、本案はその最大値に依存しません。[S6][S7]</w:t>
      </w:r>
    </w:p>
    <w:p>
      <w:pPr>
        <w:pStyle w:val="Heading2"/>
      </w:pPr>
      <w:r>
        <w:t xml:space="preserve">3.6 定期一括実行を開始する</w:t>
      </w:r>
    </w:p>
    <w:p>
      <w:r>
        <w:rPr>
          <w:b w:val="0"/>
        </w:rPr>
        <w:t xml:space="preserve">1. 試験合格・承認後、全体および MID 単位の1回あたり上限を設定します。次ページの少量例から開始し、他担当が即時更新スクリプトを並行実行していないことを確認します。</w:t>
      </w:r>
    </w:p>
    <w:p>
      <w:r>
        <w:rPr>
          <w:b w:val="0"/>
        </w:rPr>
        <w:t xml:space="preserve">2. System Definition &gt; Scheduled Jobs で Upgrade agents incrementally を開き、Run の頻度、作業時間帯、インスタンスのタイムゾーンを確認してから Active=true にして保存します。[S8]</w:t>
      </w:r>
    </w:p>
    <w:p>
      <w:r>
        <w:rPr>
          <w:b w:val="0"/>
        </w:rPr>
        <w:t xml:space="preserve">3. 既定では毎時実行します。初回と2回目の対象端末・台数を記録し、頻度と上限が想定どおりか確認します。既存設定で作業時間帯を表現できない場合、プラットフォーム担当がスケジュールを検証してから開始し、安易に24時間実行にしません。</w:t>
      </w:r>
    </w:p>
    <w:p>
      <w:r>
        <w:rPr>
          <w:b w:val="0"/>
        </w:rPr>
        <w:t xml:space="preserve">Background Script による即時実行にも台数制限があります。管理された補助手段に限定し、30万台の日常的な展開手段にはしないことを推奨します。[S9]</w:t>
      </w:r>
    </w:p>
    <w:p>
      <w:pPr>
        <w:pStyle w:val="Heading1"/>
        <w:pageBreakBefore/>
      </w:pPr>
      <w:r>
        <w:t xml:space="preserve">3 課題57 段階展開と所要時間の見積り</w:t>
      </w:r>
    </w:p>
    <w:p>
      <w:pPr>
        <w:pStyle w:val="Heading2"/>
      </w:pPr>
      <w:r>
        <w:t xml:space="preserve">3.7 二つの上限の適用範囲</w:t>
      </w:r>
    </w:p>
    <w:p>
      <w:r>
        <w:rPr>
          <w:b w:val="0"/>
        </w:rPr>
        <w:t xml:space="preserve">専用プロパティ文書では、1回のジョブの既定上限は全体1000台、MID 単位50台です。名称には per_hour が含まれますが、説明は1回の実行単位です。毎時1回の場合のみ時間あたりに換算できます。旧ページに異なる既定値があるため、実インスタンスで確認します。[S10][S13]</w:t>
      </w:r>
    </w:p>
    <w:p>
      <w:r>
        <w:rPr>
          <w:b w:val="0"/>
          <w:sz w:val="20"/>
        </w:rPr>
        <w:t xml:space="preserve">正式なプロパティ名：</w:t>
        <w:br/>
        <w:t xml:space="preserve">sn_agent.auto_upgrade.max_upgrades_per_hour</w:t>
        <w:br/>
        <w:t xml:space="preserve">sn_agent.auto_upgrade.max_upgrades_per_handler_per_hour</w:t>
      </w:r>
    </w:p>
    <w:p>
      <w:pPr>
        <w:pStyle w:val="Heading2"/>
      </w:pPr>
      <w:r>
        <w:t xml:space="preserve">3.8 段階的に台数を増やす提案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456"/>
        <w:gridCol w:w="4824"/>
      </w:tblGrid>
      <w:tr>
        <w:trPr>
          <w:cantSplit/>
          <w:tblHeader/>
        </w:trPr>
        <w:tc>
          <w:tcPr>
            <w:tcW w:type="dxa" w:w="1800"/>
            <w:vAlign w:val="center"/>
            <w:tcMar>
              <w:top w:w="90" w:type="dxa"/>
              <w:bottom w:w="90" w:type="dxa"/>
              <w:left w:w="90" w:type="dxa"/>
              <w:right w:w="90" w:type="dxa"/>
            </w:tcMar>
            <w:shd w:fill="F1F1F1"/>
          </w:tcPr>
          <w:p>
            <w:pPr>
              <w:spacing w:line="300" w:lineRule="exact" w:after="0"/>
            </w:pPr>
            <w:r>
              <w:rPr>
                <w:b/>
                <w:sz w:val="20"/>
              </w:rPr>
              <w:t xml:space="preserve">段階</w:t>
            </w:r>
          </w:p>
        </w:tc>
        <w:tc>
          <w:tcPr>
            <w:tcW w:type="dxa" w:w="3456"/>
            <w:vAlign w:val="center"/>
            <w:tcMar>
              <w:top w:w="90" w:type="dxa"/>
              <w:bottom w:w="90" w:type="dxa"/>
              <w:left w:w="90" w:type="dxa"/>
              <w:right w:w="90" w:type="dxa"/>
            </w:tcMar>
            <w:shd w:fill="F1F1F1"/>
          </w:tcPr>
          <w:p>
            <w:pPr>
              <w:spacing w:line="300" w:lineRule="exact" w:after="0"/>
            </w:pPr>
            <w:r>
              <w:rPr>
                <w:b/>
                <w:sz w:val="20"/>
              </w:rPr>
              <w:t xml:space="preserve">台数・速度の例</w:t>
            </w:r>
          </w:p>
        </w:tc>
        <w:tc>
          <w:tcPr>
            <w:tcW w:type="dxa" w:w="4824"/>
            <w:vAlign w:val="center"/>
            <w:tcMar>
              <w:top w:w="90" w:type="dxa"/>
              <w:bottom w:w="90" w:type="dxa"/>
              <w:left w:w="90" w:type="dxa"/>
              <w:right w:w="90" w:type="dxa"/>
            </w:tcMar>
            <w:shd w:fill="F1F1F1"/>
          </w:tcPr>
          <w:p>
            <w:pPr>
              <w:spacing w:line="300" w:lineRule="exact" w:after="0"/>
            </w:pPr>
            <w:r>
              <w:rPr>
                <w:b/>
                <w:sz w:val="20"/>
              </w:rPr>
              <w:t xml:space="preserve">次の段階へ進む条件</w:t>
            </w:r>
          </w:p>
        </w:tc>
      </w:tr>
      <w:tr>
        <w:trPr>
          <w:cantSplit/>
        </w:trPr>
        <w:tc>
          <w:tcPr>
            <w:tcW w:type="dxa" w:w="1800"/>
            <w:vAlign w:val="center"/>
            <w:tcMar>
              <w:top w:w="90" w:type="dxa"/>
              <w:bottom w:w="90" w:type="dxa"/>
              <w:left w:w="90" w:type="dxa"/>
              <w:right w:w="90" w:type="dxa"/>
            </w:tcMar>
          </w:tcPr>
          <w:p>
            <w:pPr>
              <w:spacing w:line="300" w:lineRule="exact" w:after="0"/>
            </w:pPr>
            <w:r>
              <w:rPr>
                <w:b w:val="0"/>
                <w:sz w:val="20"/>
              </w:rPr>
              <w:t xml:space="preserve">単体・サンプル</w:t>
            </w:r>
          </w:p>
        </w:tc>
        <w:tc>
          <w:tcPr>
            <w:tcW w:type="dxa" w:w="3456"/>
            <w:vAlign w:val="center"/>
            <w:tcMar>
              <w:top w:w="90" w:type="dxa"/>
              <w:bottom w:w="90" w:type="dxa"/>
              <w:left w:w="90" w:type="dxa"/>
              <w:right w:w="90" w:type="dxa"/>
            </w:tcMar>
          </w:tcPr>
          <w:p>
            <w:pPr>
              <w:spacing w:line="300" w:lineRule="exact" w:after="0"/>
            </w:pPr>
            <w:r>
              <w:rPr>
                <w:b w:val="0"/>
                <w:sz w:val="20"/>
              </w:rPr>
              <w:t xml:space="preserve">1台、続いて5～10台を選択更新</w:t>
            </w:r>
          </w:p>
        </w:tc>
        <w:tc>
          <w:tcPr>
            <w:tcW w:type="dxa" w:w="4824"/>
            <w:vAlign w:val="center"/>
            <w:tcMar>
              <w:top w:w="90" w:type="dxa"/>
              <w:bottom w:w="90" w:type="dxa"/>
              <w:left w:w="90" w:type="dxa"/>
              <w:right w:w="90" w:type="dxa"/>
            </w:tcMar>
          </w:tcPr>
          <w:p>
            <w:pPr>
              <w:spacing w:line="300" w:lineRule="exact" w:after="0"/>
            </w:pPr>
            <w:r>
              <w:rPr>
                <w:b w:val="0"/>
                <w:sz w:val="20"/>
              </w:rPr>
              <w:t xml:space="preserve">全端末で版・接続・収集が合格</w:t>
            </w:r>
          </w:p>
        </w:tc>
      </w:tr>
      <w:tr>
        <w:trPr>
          <w:cantSplit/>
        </w:trPr>
        <w:tc>
          <w:tcPr>
            <w:tcW w:type="dxa" w:w="1800"/>
            <w:vAlign w:val="center"/>
            <w:tcMar>
              <w:top w:w="90" w:type="dxa"/>
              <w:bottom w:w="90" w:type="dxa"/>
              <w:left w:w="90" w:type="dxa"/>
              <w:right w:w="90" w:type="dxa"/>
            </w:tcMar>
          </w:tcPr>
          <w:p>
            <w:pPr>
              <w:spacing w:line="300" w:lineRule="exact" w:after="0"/>
            </w:pPr>
            <w:r>
              <w:rPr>
                <w:b w:val="0"/>
                <w:sz w:val="20"/>
              </w:rPr>
              <w:t xml:space="preserve">初回一括</w:t>
            </w:r>
          </w:p>
        </w:tc>
        <w:tc>
          <w:tcPr>
            <w:tcW w:type="dxa" w:w="3456"/>
            <w:vAlign w:val="center"/>
            <w:tcMar>
              <w:top w:w="90" w:type="dxa"/>
              <w:bottom w:w="90" w:type="dxa"/>
              <w:left w:w="90" w:type="dxa"/>
              <w:right w:w="90" w:type="dxa"/>
            </w:tcMar>
          </w:tcPr>
          <w:p>
            <w:pPr>
              <w:spacing w:line="300" w:lineRule="exact" w:after="0"/>
            </w:pPr>
            <w:r>
              <w:rPr>
                <w:b w:val="0"/>
                <w:sz w:val="20"/>
              </w:rPr>
              <w:t xml:space="preserve">1回：全体100、MID 単位10</w:t>
            </w:r>
          </w:p>
        </w:tc>
        <w:tc>
          <w:tcPr>
            <w:tcW w:type="dxa" w:w="4824"/>
            <w:vAlign w:val="center"/>
            <w:tcMar>
              <w:top w:w="90" w:type="dxa"/>
              <w:bottom w:w="90" w:type="dxa"/>
              <w:left w:w="90" w:type="dxa"/>
              <w:right w:w="90" w:type="dxa"/>
            </w:tcMar>
          </w:tcPr>
          <w:p>
            <w:pPr>
              <w:spacing w:line="300" w:lineRule="exact" w:after="0"/>
            </w:pPr>
            <w:r>
              <w:rPr>
                <w:b w:val="0"/>
                <w:sz w:val="20"/>
              </w:rPr>
              <w:t xml:space="preserve">2回以上のジョブと正常収集周期を観測</w:t>
            </w:r>
          </w:p>
        </w:tc>
      </w:tr>
      <w:tr>
        <w:trPr>
          <w:cantSplit/>
        </w:trPr>
        <w:tc>
          <w:tcPr>
            <w:tcW w:type="dxa" w:w="1800"/>
            <w:vAlign w:val="center"/>
            <w:tcMar>
              <w:top w:w="90" w:type="dxa"/>
              <w:bottom w:w="90" w:type="dxa"/>
              <w:left w:w="90" w:type="dxa"/>
              <w:right w:w="90" w:type="dxa"/>
            </w:tcMar>
          </w:tcPr>
          <w:p>
            <w:pPr>
              <w:spacing w:line="300" w:lineRule="exact" w:after="0"/>
            </w:pPr>
            <w:r>
              <w:rPr>
                <w:b w:val="0"/>
                <w:sz w:val="20"/>
              </w:rPr>
              <w:t xml:space="preserve">拡大</w:t>
            </w:r>
          </w:p>
        </w:tc>
        <w:tc>
          <w:tcPr>
            <w:tcW w:type="dxa" w:w="3456"/>
            <w:vAlign w:val="center"/>
            <w:tcMar>
              <w:top w:w="90" w:type="dxa"/>
              <w:bottom w:w="90" w:type="dxa"/>
              <w:left w:w="90" w:type="dxa"/>
              <w:right w:w="90" w:type="dxa"/>
            </w:tcMar>
          </w:tcPr>
          <w:p>
            <w:pPr>
              <w:spacing w:line="300" w:lineRule="exact" w:after="0"/>
            </w:pPr>
            <w:r>
              <w:rPr>
                <w:b w:val="0"/>
                <w:sz w:val="20"/>
              </w:rPr>
              <w:t xml:space="preserve">1回：全体500、MID 単位25</w:t>
            </w:r>
          </w:p>
        </w:tc>
        <w:tc>
          <w:tcPr>
            <w:tcW w:type="dxa" w:w="4824"/>
            <w:vAlign w:val="center"/>
            <w:tcMar>
              <w:top w:w="90" w:type="dxa"/>
              <w:bottom w:w="90" w:type="dxa"/>
              <w:left w:w="90" w:type="dxa"/>
              <w:right w:w="90" w:type="dxa"/>
            </w:tcMar>
          </w:tcPr>
          <w:p>
            <w:pPr>
              <w:spacing w:line="300" w:lineRule="exact" w:after="0"/>
            </w:pPr>
            <w:r>
              <w:rPr>
                <w:b w:val="0"/>
                <w:sz w:val="20"/>
              </w:rPr>
              <w:t xml:space="preserve">連続2観測バッチで合格、負荷警告なし</w:t>
            </w:r>
          </w:p>
        </w:tc>
      </w:tr>
      <w:tr>
        <w:trPr>
          <w:cantSplit/>
        </w:trPr>
        <w:tc>
          <w:tcPr>
            <w:tcW w:type="dxa" w:w="1800"/>
            <w:vAlign w:val="center"/>
            <w:tcMar>
              <w:top w:w="90" w:type="dxa"/>
              <w:bottom w:w="90" w:type="dxa"/>
              <w:left w:w="90" w:type="dxa"/>
              <w:right w:w="90" w:type="dxa"/>
            </w:tcMar>
          </w:tcPr>
          <w:p>
            <w:pPr>
              <w:spacing w:line="300" w:lineRule="exact" w:after="0"/>
            </w:pPr>
            <w:r>
              <w:rPr>
                <w:b w:val="0"/>
                <w:sz w:val="20"/>
              </w:rPr>
              <w:t xml:space="preserve">定常展開</w:t>
            </w:r>
          </w:p>
        </w:tc>
        <w:tc>
          <w:tcPr>
            <w:tcW w:type="dxa" w:w="3456"/>
            <w:vAlign w:val="center"/>
            <w:tcMar>
              <w:top w:w="90" w:type="dxa"/>
              <w:bottom w:w="90" w:type="dxa"/>
              <w:left w:w="90" w:type="dxa"/>
              <w:right w:w="90" w:type="dxa"/>
            </w:tcMar>
          </w:tcPr>
          <w:p>
            <w:pPr>
              <w:spacing w:line="300" w:lineRule="exact" w:after="0"/>
            </w:pPr>
            <w:r>
              <w:rPr>
                <w:b w:val="0"/>
                <w:sz w:val="20"/>
              </w:rPr>
              <w:t xml:space="preserve">1回：全体1000、MID 単位50</w:t>
            </w:r>
          </w:p>
        </w:tc>
        <w:tc>
          <w:tcPr>
            <w:tcW w:type="dxa" w:w="4824"/>
            <w:vAlign w:val="center"/>
            <w:tcMar>
              <w:top w:w="90" w:type="dxa"/>
              <w:bottom w:w="90" w:type="dxa"/>
              <w:left w:w="90" w:type="dxa"/>
              <w:right w:w="90" w:type="dxa"/>
            </w:tcMar>
          </w:tcPr>
          <w:p>
            <w:pPr>
              <w:spacing w:line="300" w:lineRule="exact" w:after="0"/>
            </w:pPr>
            <w:r>
              <w:rPr>
                <w:b w:val="0"/>
                <w:sz w:val="20"/>
              </w:rPr>
              <w:t xml:space="preserve">容量確認とお客様承認。毎日再確認</w:t>
            </w:r>
          </w:p>
        </w:tc>
      </w:tr>
    </w:tbl>
    <w:p>
      <w:pPr>
        <w:spacing w:after="0"/>
      </w:pPr>
      <w:r>
        <w:rPr>
          <w:b w:val="0"/>
        </w:rPr>
      </w:r>
    </w:p>
    <w:p>
      <w:r>
        <w:rPr>
          <w:b w:val="0"/>
        </w:rPr>
        <w:t xml:space="preserve">上記はコンサルタントによる試行案であり、公式の固定推奨速度ではありません。一括段階の「100台」は数量制限で、特定の100台を指定する意味ではありません。対象リストの厳密な制御には3.11節の代替案を用います。</w:t>
      </w:r>
    </w:p>
    <w:p>
      <w:pPr>
        <w:pStyle w:val="Heading2"/>
      </w:pPr>
      <w:r>
        <w:t xml:space="preserve">3.9 所要期間を誤って約束しない計算方法</w:t>
      </w:r>
    </w:p>
    <w:p>
      <w:r>
        <w:rPr>
          <w:b w:val="0"/>
        </w:rPr>
        <w:t xml:space="preserve">1回に開始できる台数の上界は「全体上限」と「各 MID が処理できる台数の合計」の小さい方です。オフライン、失敗、帯域、ジョブ時間、インスタンス負荷の影響をさらに考慮します。この値は同時実行数や正常完了数ではありません。</w:t>
      </w:r>
    </w:p>
    <w:p>
      <w:r>
        <w:rPr>
          <w:b w:val="0"/>
        </w:rPr>
        <w:t xml:space="preserve">例：MID 2台、各50台／回、毎時1回なら、理論上界は100台／時です。30万台には3000時間、連続125日を要します。これは速度制約の例であり、MID 2台で30万台を収容できるという構成提案ではありません。</w:t>
      </w:r>
    </w:p>
    <w:p>
      <w:r>
        <w:rPr>
          <w:b w:val="0"/>
        </w:rPr>
        <w:t xml:space="preserve">適切に端末が分布し容量も十分な MID が20台以上あれば、上限上は1000台／時となり、30万台は300時間、連続12.5日です。1日8時間なら最低38稼働日で、準備・停止・補修時間が加わります。最終計画は実測速度で再計算します。20台を本番に必要な容量の結論にしません。</w:t>
      </w:r>
    </w:p>
    <w:p>
      <w:pPr>
        <w:pStyle w:val="Heading1"/>
        <w:pageBreakBefore/>
      </w:pPr>
      <w:r>
        <w:t xml:space="preserve">3 課題57 異常時の停止と復旧</w:t>
      </w:r>
    </w:p>
    <w:p>
      <w:pPr>
        <w:pStyle w:val="Heading2"/>
      </w:pPr>
      <w:r>
        <w:t xml:space="preserve">3.10 事前承認を推奨する停止条件</w:t>
      </w:r>
    </w:p>
    <w:p>
      <w:r>
        <w:rPr>
          <w:b w:val="0"/>
        </w:rPr>
        <w:t xml:space="preserve">以下はプロジェクト向けの提案で、メーカー保証ではありません。少数試験で原因不明の失敗が1件でもあれば拡大しません。一括展開で安全・業務影響が出たら直ちに停止します。同一バッチの失敗率が1%超、または MID 負荷が承認済み警告値を15分超過しても次バッチを停止します。業務要件に合わせて承認・厳格化します。</w:t>
      </w:r>
    </w:p>
    <w:p>
      <w:r>
        <w:rPr>
          <w:b w:val="0"/>
        </w:rPr>
        <w:t xml:space="preserve">成功率は同一観測バッチで最終結果が確定した端末から算出し、処理中、タイムアウト、オフライン、未開始を別記します。処理中を除外した率だけで評価しません。対象リストと実行時間帯を証跡として残します。</w:t>
      </w:r>
    </w:p>
    <w:p>
      <w:pPr>
        <w:pStyle w:val="Heading2"/>
      </w:pPr>
      <w:r>
        <w:t xml:space="preserve">停止後の対応順序</w:t>
      </w:r>
    </w:p>
    <w:p>
      <w:r>
        <w:rPr>
          <w:b w:val="0"/>
        </w:rPr>
        <w:t xml:space="preserve">1. 新規配信を停止します。Upgrade agents incrementally の Active を無効にし、手動の一括実行も止めます。外部ツールなら後続集合への配布を停止します。発行済みタスクの取消しではないため、処理中端末を別途追跡します。</w:t>
      </w:r>
    </w:p>
    <w:p>
      <w:r>
        <w:rPr>
          <w:b w:val="0"/>
        </w:rPr>
        <w:t xml:space="preserve">2. 失敗端末、現行版、Agent Upgrade Histories、端末・MID ログ、発生時刻、設定スナップショットを保存します。エージェント、CI、履歴を先に削除しません。</w:t>
      </w:r>
    </w:p>
    <w:p>
      <w:r>
        <w:rPr>
          <w:b w:val="0"/>
        </w:rPr>
        <w:t xml:space="preserve">3. 失敗段階で切り分けます。InstanceVerification は対象資格と MID 状態、AgentVerification は権限・空き容量・依存要件、Upgrade はダウンロード・インストールログ・サービス起動を確認します。[S6]</w:t>
      </w:r>
    </w:p>
    <w:p>
      <w:r>
        <w:rPr>
          <w:b w:val="0"/>
        </w:rPr>
        <w:t xml:space="preserve">4. まず1台を修復して確認します。証明書・ダウンロードはネットワーク／安全担当、権限・インストールは端末担当、インスタンス／MID の滞留はプラットフォーム担当が処理します。原因確定後に同種端末へ適用します。</w:t>
      </w:r>
    </w:p>
    <w:p>
      <w:pPr>
        <w:pStyle w:val="Heading2"/>
      </w:pPr>
      <w:r>
        <w:t xml:space="preserve">再試行と旧版への復元は別の処理</w:t>
      </w:r>
    </w:p>
    <w:p>
      <w:r>
        <w:rPr>
          <w:b w:val="0"/>
        </w:rPr>
        <w:t xml:space="preserve">公式には失敗回数制限とリセット操作があります。[S6][S10] 原因解消と1台の復旧確認後、承認端末に限って Reset failed upgrade attempts を実行し、選択的に再試行します。一括リセットで継続的な失敗を見えなくしません。</w:t>
      </w:r>
    </w:p>
    <w:p>
      <w:r>
        <w:rPr>
          <w:b w:val="0"/>
        </w:rPr>
        <w:t xml:space="preserve">全バージョン共通の自動ダウングレード機能は本調査で確認できていないため、「ワンクリックで戻せる」とは約束しません。サービス修復や誤変更した設定の復元を優先します。旧版へ戻す場合は、メーカーが許容する経路を確認し、設定・証明書・エージェント識別子の保持を代表端末で試験します。</w:t>
      </w:r>
    </w:p>
    <w:p>
      <w:r>
        <w:rPr>
          <w:b w:val="0"/>
        </w:rPr>
        <w:t xml:space="preserve">確実な旧版復元手段がなければ新規展開を止め、未更新端末の旧版を維持して失敗端末を個別修復します。再開前にオンライン、実収集、CI 対応を確認し、インストーラーの成功だけで復旧完了としません。</w:t>
      </w:r>
    </w:p>
    <w:p>
      <w:pPr>
        <w:pStyle w:val="Heading1"/>
        <w:pageBreakBefore/>
      </w:pPr>
      <w:r>
        <w:t xml:space="preserve">3 課題57 厳密な対象制御・制約環境の代替案</w:t>
      </w:r>
    </w:p>
    <w:p>
      <w:pPr>
        <w:pStyle w:val="Heading2"/>
      </w:pPr>
      <w:r>
        <w:t xml:space="preserve">3.11 既存 Windows MECM 配布経路の活用</w:t>
      </w:r>
    </w:p>
    <w:p>
      <w:r>
        <w:rPr>
          <w:b w:val="0"/>
        </w:rPr>
        <w:t xml:space="preserve">対象は、利用可能な MECM 管理基盤があり、部門・地域ごとの承認が必要、または ServiceNow の大規模更新に適さない場合です。MECM は指定 Windows 端末へインストールを指示し、更新後の ACC データは引き続き MID 経由で ServiceNow に送ります。両者の役割は異なります。</w:t>
      </w:r>
    </w:p>
    <w:p>
      <w:r>
        <w:rPr>
          <w:b w:val="0"/>
        </w:rPr>
        <w:t xml:space="preserve">公式根拠：Configuration Manager はコレクションを対象とする段階的展開と状態監視に対応します。[S18][S19] これは配布制御の根拠であり、すべての ACC 版、mTLS 設定、30万台の処理能力の互換性を証明するものではありません。</w:t>
      </w:r>
    </w:p>
    <w:p>
      <w:r>
        <w:rPr>
          <w:b w:val="0"/>
        </w:rPr>
        <w:t xml:space="preserve">1. MECM 担当が試験用と後続バッチ用のコレクションを作り、重複包含・除外ルールを確認します。承認済みリストに基づき、全端末へ直接配布しません。</w:t>
      </w:r>
    </w:p>
    <w:p>
      <w:r>
        <w:rPr>
          <w:b w:val="0"/>
        </w:rPr>
        <w:t xml:space="preserve">2. 承認された ACC パッケージで更新用の実行方式を検証します。実行権限、サイレント引数、目標版の検出、戻り値、再起動、ログ保存先を確認します。新規導入用パッケージを未検証で更新用に転用しません。</w:t>
      </w:r>
    </w:p>
    <w:p>
      <w:r>
        <w:rPr>
          <w:b w:val="0"/>
        </w:rPr>
        <w:t xml:space="preserve">3. 実際の旧版端末で更新し、acc.yml、証明書、API Key 設定、エージェント識別子が不適切に初期化されないことを確認します。mTLS 端末はサービス起動だけでなく、ハンドシェイクと収集を確認します。</w:t>
      </w:r>
    </w:p>
    <w:p>
      <w:r>
        <w:rPr>
          <w:b w:val="0"/>
        </w:rPr>
        <w:t xml:space="preserve">4. 検証済み資材を必要な配布ポイントへ配布し、試験集合から開始して各集合を順次承認します。毎回の手動承認が必須なら集合ごとの独立展開を選べます。全アプリの段階的展開に手動の次段階移行があるとは限りません。</w:t>
      </w:r>
    </w:p>
    <w:p>
      <w:r>
        <w:rPr>
          <w:b w:val="0"/>
        </w:rPr>
        <w:t xml:space="preserve">5. MECM の結果と ServiceNow のエージェントバージョン、オンライン、収集結果を照合します。MECM で成功でも ACC が再接続しなければ未完了とし、前節の異常対応に従って後続を停止します。</w:t>
      </w:r>
    </w:p>
    <w:p>
      <w:pPr>
        <w:pStyle w:val="Heading2"/>
      </w:pPr>
      <w:r>
        <w:t xml:space="preserve">3.12 Linux とその他の制約</w:t>
      </w:r>
    </w:p>
    <w:p>
      <w:r>
        <w:rPr>
          <w:b w:val="0"/>
        </w:rPr>
        <w:t xml:space="preserve">Linux は既存のサポートされた構成管理・ソフトウェア配布手段で、検証済みのローカル更新を実行する方式を評価します。Windows MECM 手順をそのまま Linux に適用しません。成熟したツールがなければ、まず管理者が少数端末で手順を確認し、自動化構築の費用を別途評価します。</w:t>
      </w:r>
    </w:p>
    <w:p>
      <w:pPr>
        <w:pStyle w:val="Heading2"/>
      </w:pPr>
      <w:r>
        <w:t xml:space="preserve">3.13 二つの境界を明確にする</w:t>
      </w:r>
    </w:p>
    <w:p>
      <w:r>
        <w:rPr>
          <w:b w:val="0"/>
        </w:rPr>
        <w:t xml:space="preserve">第一に、同じ端末群の更新実行者は一つとし、ServiceNow 定期ジョブと MECM の競合を避けます。第二に、外部ツールは実装提案です。パッケージ、設定保持、収集復旧、対象制御がすべて合格して初めて本番承認に進みます。不合格なら現行版を維持し、失敗証跡を提示して、必ず実現できるとは約束しません。</w:t>
      </w:r>
    </w:p>
    <w:p>
      <w:pPr>
        <w:pStyle w:val="Heading1"/>
        <w:pageBreakBefore/>
      </w:pPr>
      <w:r>
        <w:t xml:space="preserve">4 実施分担とお客様の判断事項</w:t>
      </w:r>
    </w:p>
    <w:p>
      <w:pPr>
        <w:pStyle w:val="Heading2"/>
      </w:pPr>
      <w:r>
        <w:t xml:space="preserve">4.1 確認事項の列挙ではなく証跡で進める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320"/>
        <w:gridCol w:w="3888"/>
      </w:tblGrid>
      <w:tr>
        <w:trPr>
          <w:cantSplit/>
          <w:tblHeader/>
        </w:trPr>
        <w:tc>
          <w:tcPr>
            <w:tcW w:type="dxa" w:w="1872"/>
            <w:vAlign w:val="center"/>
            <w:tcMar>
              <w:top w:w="90" w:type="dxa"/>
              <w:bottom w:w="90" w:type="dxa"/>
              <w:left w:w="90" w:type="dxa"/>
              <w:right w:w="90" w:type="dxa"/>
            </w:tcMar>
            <w:shd w:fill="F1F1F1"/>
          </w:tcPr>
          <w:p>
            <w:pPr>
              <w:spacing w:line="300" w:lineRule="exact" w:after="0"/>
            </w:pPr>
            <w:r>
              <w:rPr>
                <w:b/>
                <w:sz w:val="20"/>
              </w:rPr>
              <w:t xml:space="preserve">段階</w:t>
            </w:r>
          </w:p>
        </w:tc>
        <w:tc>
          <w:tcPr>
            <w:tcW w:type="dxa" w:w="4320"/>
            <w:vAlign w:val="center"/>
            <w:tcMar>
              <w:top w:w="90" w:type="dxa"/>
              <w:bottom w:w="90" w:type="dxa"/>
              <w:left w:w="90" w:type="dxa"/>
              <w:right w:w="90" w:type="dxa"/>
            </w:tcMar>
            <w:shd w:fill="F1F1F1"/>
          </w:tcPr>
          <w:p>
            <w:pPr>
              <w:spacing w:line="300" w:lineRule="exact" w:after="0"/>
            </w:pPr>
            <w:r>
              <w:rPr>
                <w:b/>
                <w:sz w:val="20"/>
              </w:rPr>
              <w:t xml:space="preserve">成果物</w:t>
            </w:r>
          </w:p>
        </w:tc>
        <w:tc>
          <w:tcPr>
            <w:tcW w:type="dxa" w:w="3888"/>
            <w:vAlign w:val="center"/>
            <w:tcMar>
              <w:top w:w="90" w:type="dxa"/>
              <w:bottom w:w="90" w:type="dxa"/>
              <w:left w:w="90" w:type="dxa"/>
              <w:right w:w="90" w:type="dxa"/>
            </w:tcMar>
            <w:shd w:fill="F1F1F1"/>
          </w:tcPr>
          <w:p>
            <w:pPr>
              <w:spacing w:line="300" w:lineRule="exact" w:after="0"/>
            </w:pPr>
            <w:r>
              <w:rPr>
                <w:b/>
                <w:sz w:val="20"/>
              </w:rPr>
              <w:t xml:space="preserve">移行条件</w:t>
            </w:r>
          </w:p>
        </w:tc>
      </w:tr>
      <w:tr>
        <w:trPr>
          <w:cantSplit/>
        </w:trPr>
        <w:tc>
          <w:tcPr>
            <w:tcW w:type="dxa" w:w="1872"/>
            <w:vAlign w:val="center"/>
            <w:tcMar>
              <w:top w:w="90" w:type="dxa"/>
              <w:bottom w:w="90" w:type="dxa"/>
              <w:left w:w="90" w:type="dxa"/>
              <w:right w:w="90" w:type="dxa"/>
            </w:tcMar>
          </w:tcPr>
          <w:p>
            <w:pPr>
              <w:spacing w:line="300" w:lineRule="exact" w:after="0"/>
            </w:pPr>
            <w:r>
              <w:rPr>
                <w:b w:val="0"/>
                <w:sz w:val="20"/>
              </w:rPr>
              <w:t xml:space="preserve">現状・方式レビュー</w:t>
            </w:r>
          </w:p>
        </w:tc>
        <w:tc>
          <w:tcPr>
            <w:tcW w:type="dxa" w:w="4320"/>
            <w:vAlign w:val="center"/>
            <w:tcMar>
              <w:top w:w="90" w:type="dxa"/>
              <w:bottom w:w="90" w:type="dxa"/>
              <w:left w:w="90" w:type="dxa"/>
              <w:right w:w="90" w:type="dxa"/>
            </w:tcMar>
          </w:tcPr>
          <w:p>
            <w:pPr>
              <w:spacing w:line="300" w:lineRule="exact" w:after="0"/>
            </w:pPr>
            <w:r>
              <w:rPr>
                <w:b w:val="0"/>
                <w:sz w:val="20"/>
              </w:rPr>
              <w:t xml:space="preserve">版・エージェント台帳、55A～55D選定、安全・段階展開要件</w:t>
            </w:r>
          </w:p>
        </w:tc>
        <w:tc>
          <w:tcPr>
            <w:tcW w:type="dxa" w:w="3888"/>
            <w:vAlign w:val="center"/>
            <w:tcMar>
              <w:top w:w="90" w:type="dxa"/>
              <w:bottom w:w="90" w:type="dxa"/>
              <w:left w:w="90" w:type="dxa"/>
              <w:right w:w="90" w:type="dxa"/>
            </w:tcMar>
          </w:tcPr>
          <w:p>
            <w:pPr>
              <w:spacing w:line="300" w:lineRule="exact" w:after="0"/>
            </w:pPr>
            <w:r>
              <w:rPr>
                <w:b w:val="0"/>
                <w:sz w:val="20"/>
              </w:rPr>
              <w:t xml:space="preserve">入口、分離、障害復旧、変更範囲を承認</w:t>
            </w:r>
          </w:p>
        </w:tc>
      </w:tr>
      <w:tr>
        <w:trPr>
          <w:cantSplit/>
        </w:trPr>
        <w:tc>
          <w:tcPr>
            <w:tcW w:type="dxa" w:w="1872"/>
            <w:vAlign w:val="center"/>
            <w:tcMar>
              <w:top w:w="90" w:type="dxa"/>
              <w:bottom w:w="90" w:type="dxa"/>
              <w:left w:w="90" w:type="dxa"/>
              <w:right w:w="90" w:type="dxa"/>
            </w:tcMar>
          </w:tcPr>
          <w:p>
            <w:pPr>
              <w:spacing w:line="300" w:lineRule="exact" w:after="0"/>
            </w:pPr>
            <w:r>
              <w:rPr>
                <w:b w:val="0"/>
                <w:sz w:val="20"/>
              </w:rPr>
              <w:t xml:space="preserve">接続・上限試験</w:t>
            </w:r>
          </w:p>
        </w:tc>
        <w:tc>
          <w:tcPr>
            <w:tcW w:type="dxa" w:w="4320"/>
            <w:vAlign w:val="center"/>
            <w:tcMar>
              <w:top w:w="90" w:type="dxa"/>
              <w:bottom w:w="90" w:type="dxa"/>
              <w:left w:w="90" w:type="dxa"/>
              <w:right w:w="90" w:type="dxa"/>
            </w:tcMar>
          </w:tcPr>
          <w:p>
            <w:pPr>
              <w:spacing w:line="300" w:lineRule="exact" w:after="0"/>
            </w:pPr>
            <w:r>
              <w:rPr>
                <w:b w:val="0"/>
                <w:sz w:val="20"/>
              </w:rPr>
              <w:t xml:space="preserve">接続マトリクス、設定画面、障害・上限ログ</w:t>
            </w:r>
          </w:p>
        </w:tc>
        <w:tc>
          <w:tcPr>
            <w:tcW w:type="dxa" w:w="3888"/>
            <w:vAlign w:val="center"/>
            <w:tcMar>
              <w:top w:w="90" w:type="dxa"/>
              <w:bottom w:w="90" w:type="dxa"/>
              <w:left w:w="90" w:type="dxa"/>
              <w:right w:w="90" w:type="dxa"/>
            </w:tcMar>
          </w:tcPr>
          <w:p>
            <w:pPr>
              <w:spacing w:line="300" w:lineRule="exact" w:after="0"/>
            </w:pPr>
            <w:r>
              <w:rPr>
                <w:b w:val="0"/>
                <w:sz w:val="20"/>
              </w:rPr>
              <w:t xml:space="preserve">課題55・56合格、設定復元可能</w:t>
            </w:r>
          </w:p>
        </w:tc>
      </w:tr>
      <w:tr>
        <w:trPr>
          <w:cantSplit/>
        </w:trPr>
        <w:tc>
          <w:tcPr>
            <w:tcW w:type="dxa" w:w="1872"/>
            <w:vAlign w:val="center"/>
            <w:tcMar>
              <w:top w:w="90" w:type="dxa"/>
              <w:bottom w:w="90" w:type="dxa"/>
              <w:left w:w="90" w:type="dxa"/>
              <w:right w:w="90" w:type="dxa"/>
            </w:tcMar>
          </w:tcPr>
          <w:p>
            <w:pPr>
              <w:spacing w:line="300" w:lineRule="exact" w:after="0"/>
            </w:pPr>
            <w:r>
              <w:rPr>
                <w:b w:val="0"/>
                <w:sz w:val="20"/>
              </w:rPr>
              <w:t xml:space="preserve">更新試験</w:t>
            </w:r>
          </w:p>
        </w:tc>
        <w:tc>
          <w:tcPr>
            <w:tcW w:type="dxa" w:w="4320"/>
            <w:vAlign w:val="center"/>
            <w:tcMar>
              <w:top w:w="90" w:type="dxa"/>
              <w:bottom w:w="90" w:type="dxa"/>
              <w:left w:w="90" w:type="dxa"/>
              <w:right w:w="90" w:type="dxa"/>
            </w:tcMar>
          </w:tcPr>
          <w:p>
            <w:pPr>
              <w:spacing w:line="300" w:lineRule="exact" w:after="0"/>
            </w:pPr>
            <w:r>
              <w:rPr>
                <w:b w:val="0"/>
                <w:sz w:val="20"/>
              </w:rPr>
              <w:t xml:space="preserve">旧版→目標版、取得経路、失敗時の補修記録</w:t>
            </w:r>
          </w:p>
        </w:tc>
        <w:tc>
          <w:tcPr>
            <w:tcW w:type="dxa" w:w="3888"/>
            <w:vAlign w:val="center"/>
            <w:tcMar>
              <w:top w:w="90" w:type="dxa"/>
              <w:bottom w:w="90" w:type="dxa"/>
              <w:left w:w="90" w:type="dxa"/>
              <w:right w:w="90" w:type="dxa"/>
            </w:tcMar>
          </w:tcPr>
          <w:p>
            <w:pPr>
              <w:spacing w:line="300" w:lineRule="exact" w:after="0"/>
            </w:pPr>
            <w:r>
              <w:rPr>
                <w:b w:val="0"/>
                <w:sz w:val="20"/>
              </w:rPr>
              <w:t xml:space="preserve">サンプル合格。未解決失敗があれば拡大しない</w:t>
            </w:r>
          </w:p>
        </w:tc>
      </w:tr>
      <w:tr>
        <w:trPr>
          <w:cantSplit/>
        </w:trPr>
        <w:tc>
          <w:tcPr>
            <w:tcW w:type="dxa" w:w="1872"/>
            <w:vAlign w:val="center"/>
            <w:tcMar>
              <w:top w:w="90" w:type="dxa"/>
              <w:bottom w:w="90" w:type="dxa"/>
              <w:left w:w="90" w:type="dxa"/>
              <w:right w:w="90" w:type="dxa"/>
            </w:tcMar>
          </w:tcPr>
          <w:p>
            <w:pPr>
              <w:spacing w:line="300" w:lineRule="exact" w:after="0"/>
            </w:pPr>
            <w:r>
              <w:rPr>
                <w:b w:val="0"/>
                <w:sz w:val="20"/>
              </w:rPr>
              <w:t xml:space="preserve">段階拡大</w:t>
            </w:r>
          </w:p>
        </w:tc>
        <w:tc>
          <w:tcPr>
            <w:tcW w:type="dxa" w:w="4320"/>
            <w:vAlign w:val="center"/>
            <w:tcMar>
              <w:top w:w="90" w:type="dxa"/>
              <w:bottom w:w="90" w:type="dxa"/>
              <w:left w:w="90" w:type="dxa"/>
              <w:right w:w="90" w:type="dxa"/>
            </w:tcMar>
          </w:tcPr>
          <w:p>
            <w:pPr>
              <w:spacing w:line="300" w:lineRule="exact" w:after="0"/>
            </w:pPr>
            <w:r>
              <w:rPr>
                <w:b w:val="0"/>
                <w:sz w:val="20"/>
              </w:rPr>
              <w:t xml:space="preserve">バッチ名簿、成功・例外数、処理量・負荷推移</w:t>
            </w:r>
          </w:p>
        </w:tc>
        <w:tc>
          <w:tcPr>
            <w:tcW w:type="dxa" w:w="3888"/>
            <w:vAlign w:val="center"/>
            <w:tcMar>
              <w:top w:w="90" w:type="dxa"/>
              <w:bottom w:w="90" w:type="dxa"/>
              <w:left w:w="90" w:type="dxa"/>
              <w:right w:w="90" w:type="dxa"/>
            </w:tcMar>
          </w:tcPr>
          <w:p>
            <w:pPr>
              <w:spacing w:line="300" w:lineRule="exact" w:after="0"/>
            </w:pPr>
            <w:r>
              <w:rPr>
                <w:b w:val="0"/>
                <w:sz w:val="20"/>
              </w:rPr>
              <w:t xml:space="preserve">観測指標を満たし次段階を承認</w:t>
            </w:r>
          </w:p>
        </w:tc>
      </w:tr>
      <w:tr>
        <w:trPr>
          <w:cantSplit/>
        </w:trPr>
        <w:tc>
          <w:tcPr>
            <w:tcW w:type="dxa" w:w="1872"/>
            <w:vAlign w:val="center"/>
            <w:tcMar>
              <w:top w:w="90" w:type="dxa"/>
              <w:bottom w:w="90" w:type="dxa"/>
              <w:left w:w="90" w:type="dxa"/>
              <w:right w:w="90" w:type="dxa"/>
            </w:tcMar>
          </w:tcPr>
          <w:p>
            <w:pPr>
              <w:spacing w:line="300" w:lineRule="exact" w:after="0"/>
            </w:pPr>
            <w:r>
              <w:rPr>
                <w:b w:val="0"/>
                <w:sz w:val="20"/>
              </w:rPr>
              <w:t xml:space="preserve">課題完了</w:t>
            </w:r>
          </w:p>
        </w:tc>
        <w:tc>
          <w:tcPr>
            <w:tcW w:type="dxa" w:w="4320"/>
            <w:vAlign w:val="center"/>
            <w:tcMar>
              <w:top w:w="90" w:type="dxa"/>
              <w:bottom w:w="90" w:type="dxa"/>
              <w:left w:w="90" w:type="dxa"/>
              <w:right w:w="90" w:type="dxa"/>
            </w:tcMar>
          </w:tcPr>
          <w:p>
            <w:pPr>
              <w:spacing w:line="300" w:lineRule="exact" w:after="0"/>
            </w:pPr>
            <w:r>
              <w:rPr>
                <w:b w:val="0"/>
                <w:sz w:val="20"/>
              </w:rPr>
              <w:t xml:space="preserve">最終版台帳、例外対応一覧、運用手順</w:t>
            </w:r>
          </w:p>
        </w:tc>
        <w:tc>
          <w:tcPr>
            <w:tcW w:type="dxa" w:w="3888"/>
            <w:vAlign w:val="center"/>
            <w:tcMar>
              <w:top w:w="90" w:type="dxa"/>
              <w:bottom w:w="90" w:type="dxa"/>
              <w:left w:w="90" w:type="dxa"/>
              <w:right w:w="90" w:type="dxa"/>
            </w:tcMar>
          </w:tcPr>
          <w:p>
            <w:pPr>
              <w:spacing w:line="300" w:lineRule="exact" w:after="0"/>
            </w:pPr>
            <w:r>
              <w:rPr>
                <w:b w:val="0"/>
                <w:sz w:val="20"/>
              </w:rPr>
              <w:t xml:space="preserve">例外の担当・期限を明示。未完了を隠さない</w:t>
            </w:r>
          </w:p>
        </w:tc>
      </w:tr>
    </w:tbl>
    <w:p>
      <w:pPr>
        <w:spacing w:after="0"/>
      </w:pPr>
      <w:r>
        <w:rPr>
          <w:b w:val="0"/>
        </w:rPr>
      </w:r>
    </w:p>
    <w:p>
      <w:pPr>
        <w:pStyle w:val="Heading2"/>
      </w:pPr>
      <w:r>
        <w:t xml:space="preserve">4.2 各担当の責任</w:t>
      </w:r>
    </w:p>
    <w:p>
      <w:r>
        <w:rPr>
          <w:b w:val="0"/>
        </w:rPr>
        <w:t xml:space="preserve">コンサルタント：方式の提案・比較、設定・試験手順、合格証跡の定義、原因分析、推奨案、サポート問合せ資料を作成します。「要確認」だけで解決手順を省略しません。</w:t>
      </w:r>
    </w:p>
    <w:p>
      <w:r>
        <w:rPr>
          <w:b w:val="0"/>
        </w:rPr>
        <w:t xml:space="preserve">プラットフォーム担当：ServiceNow 属性、MID 能力、ジョブの変更・承認、容量と履歴の提供。ネットワーク・安全担当：LB、DNS、ルート、ファイアウォール、証明書、安全要件。端末担当：OS 権限、資材、MECM 集合、端末ログ。業務責任者：対象、時間帯、復旧目標、継続展開の承認。</w:t>
      </w:r>
    </w:p>
    <w:p>
      <w:pPr>
        <w:pStyle w:val="Heading2"/>
      </w:pPr>
      <w:r>
        <w:t xml:space="preserve">4.3 ServiceNow サポートへの具体的な確認</w:t>
      </w:r>
    </w:p>
    <w:p>
      <w:r>
        <w:rPr>
          <w:b w:val="0"/>
        </w:rPr>
        <w:t xml:space="preserve">インスタンス／ACC 版、30万台の OS・地域分布、MID の仕様・台数、Checks・頻度、LB・TLS 方式、実測速度、失敗ログを添付します。実版の有効上限と実行単位、大規模・障害時容量、mTLS の代替更新経路、グループ指定と特定旧版からの更新のサポート範囲を確認します。</w:t>
      </w:r>
    </w:p>
    <w:p>
      <w:r>
        <w:rPr>
          <w:b w:val="0"/>
        </w:rPr>
        <w:t xml:space="preserve">回答待ちの間は未検証の接続上限・更新速度への引上げや全量ジョブを開始しません。ただし承認済み隔離サンプルで接続、上限、単体更新の試験は進められます。回答後に設定・方式を修正し、必要な追加試験を行います。</w:t>
      </w:r>
    </w:p>
    <w:p>
      <w:r>
        <w:rPr>
          <w:b/>
        </w:rPr>
        <w:t xml:space="preserve">最終提案：最初に接続方式と小規模検証を承認し、30万台全量の実行は直ちに承認しません。実測に基づき、実行・停止・照合が可能な本番更新計画へ段階的に具体化します。</w:t>
      </w:r>
    </w:p>
    <w:p>
      <w:pPr>
        <w:pStyle w:val="Heading1"/>
        <w:pageBreakBefore/>
      </w:pPr>
      <w:r>
        <w:t xml:space="preserve">5 公式参考資料</w:t>
      </w:r>
    </w:p>
    <w:p>
      <w:r>
        <w:rPr>
          <w:b w:val="0"/>
          <w:sz w:val="20"/>
        </w:rPr>
        <w:t xml:space="preserve">ServiceNow は Australia のページを参照し、参照日は2026年9月8日です。Microsoft はオンライン製品文書です。元報告書の番号を維持し、新規資料を追加しています。未使用番号は省略しています。英語タイトルをクリックすると原文が開きます。</w:t>
      </w:r>
    </w:p>
    <w:p>
      <w:pPr>
        <w:keepNext/>
        <w:spacing w:after="40"/>
      </w:pPr>
      <w:r>
        <w:rPr>
          <w:b w:val="0"/>
        </w:rPr>
        <w:t xml:space="preserve">[S1] </w:t>
      </w:r>
      <w:hyperlink r:id="rId10">
        <w:r>
          <w:rPr>
            <w:sz w:val="20"/>
            <w:color w:val="1F4E79"/>
          </w:rPr>
          <w:t>Enable the ACC load balancer</w:t>
        </w:r>
      </w:hyperlink>
    </w:p>
    <w:p>
      <w:pPr>
        <w:keepLines/>
        <w:spacing w:line="300" w:lineRule="exact" w:after="180"/>
      </w:pPr>
      <w:r>
        <w:rPr>
          <w:b w:val="0"/>
          <w:sz w:val="20"/>
        </w:rPr>
        <w:t xml:space="preserve">ページ日付 2026-03-12</w:t>
        <w:br/>
        <w:t xml:space="preserve">参照箇所：Procedure。共通 URL、自動選択の無効化、ヘルスチェック、証明書。</w:t>
      </w:r>
    </w:p>
    <w:p>
      <w:pPr>
        <w:keepNext/>
        <w:spacing w:after="40"/>
      </w:pPr>
      <w:r>
        <w:rPr>
          <w:b w:val="0"/>
        </w:rPr>
        <w:t xml:space="preserve">[S2] </w:t>
      </w:r>
      <w:hyperlink r:id="rId11">
        <w:r>
          <w:rPr>
            <w:sz w:val="20"/>
            <w:color w:val="1F4E79"/>
          </w:rPr>
          <w:t>Automatic MID Server selection</w:t>
        </w:r>
      </w:hyperlink>
    </w:p>
    <w:p>
      <w:pPr>
        <w:keepLines/>
        <w:spacing w:line="300" w:lineRule="exact" w:after="180"/>
      </w:pPr>
      <w:r>
        <w:rPr>
          <w:b w:val="0"/>
          <w:sz w:val="20"/>
        </w:rPr>
        <w:t xml:space="preserve">ページ日付 2026-03-12</w:t>
        <w:br/>
        <w:t xml:space="preserve">参照箇所：Use case considerations（厳密な負荷分散ではない点）、Automatic selection process。</w:t>
      </w:r>
    </w:p>
    <w:p>
      <w:pPr>
        <w:keepNext/>
        <w:spacing w:after="40"/>
      </w:pPr>
      <w:r>
        <w:rPr>
          <w:b w:val="0"/>
        </w:rPr>
        <w:t xml:space="preserve">[S4] </w:t>
      </w:r>
      <w:hyperlink r:id="rId12">
        <w:r>
          <w:rPr>
            <w:sz w:val="20"/>
            <w:color w:val="1F4E79"/>
          </w:rPr>
          <w:t>ACC installation</w:t>
        </w:r>
      </w:hyperlink>
    </w:p>
    <w:p>
      <w:pPr>
        <w:keepLines/>
        <w:spacing w:line="300" w:lineRule="exact" w:after="180"/>
      </w:pPr>
      <w:r>
        <w:rPr>
          <w:b w:val="0"/>
          <w:sz w:val="20"/>
        </w:rPr>
        <w:t xml:space="preserve">ページ日付 2026-03-12</w:t>
        <w:br/>
        <w:t xml:space="preserve">参照箇所：接続数プロパティ、既定4000。特定ハードウェアの容量保証ではありません。</w:t>
      </w:r>
    </w:p>
    <w:p>
      <w:pPr>
        <w:keepNext/>
        <w:spacing w:after="40"/>
      </w:pPr>
      <w:r>
        <w:rPr>
          <w:b w:val="0"/>
        </w:rPr>
        <w:t xml:space="preserve">[S5] </w:t>
      </w:r>
      <w:hyperlink r:id="rId13">
        <w:r>
          <w:rPr>
            <w:sz w:val="20"/>
            <w:color w:val="1F4E79"/>
          </w:rPr>
          <w:t>MID Server properties</w:t>
        </w:r>
      </w:hyperlink>
    </w:p>
    <w:p>
      <w:pPr>
        <w:keepLines/>
        <w:spacing w:line="300" w:lineRule="exact" w:after="180"/>
      </w:pPr>
      <w:r>
        <w:rPr>
          <w:b w:val="0"/>
          <w:sz w:val="20"/>
        </w:rPr>
        <w:t xml:space="preserve">ページ日付 2026-03-12</w:t>
        <w:br/>
        <w:t xml:space="preserve">参照箇所：Create a MID Server property。個別／全体の範囲、設定テーブル、再起動。</w:t>
      </w:r>
    </w:p>
    <w:p>
      <w:pPr>
        <w:keepNext/>
        <w:spacing w:after="40"/>
      </w:pPr>
      <w:r>
        <w:rPr>
          <w:b w:val="0"/>
        </w:rPr>
        <w:t xml:space="preserve">[S6] </w:t>
      </w:r>
      <w:hyperlink r:id="rId14">
        <w:r>
          <w:rPr>
            <w:sz w:val="20"/>
            <w:color w:val="1F4E79"/>
          </w:rPr>
          <w:t>Agent Client Collector upgrade overview</w:t>
        </w:r>
      </w:hyperlink>
    </w:p>
    <w:p>
      <w:pPr>
        <w:keepLines/>
        <w:spacing w:line="300" w:lineRule="exact" w:after="180"/>
      </w:pPr>
      <w:r>
        <w:rPr>
          <w:b w:val="0"/>
          <w:sz w:val="20"/>
        </w:rPr>
        <w:t xml:space="preserve">ページ日付 2026-05-28</w:t>
        <w:br/>
        <w:t xml:space="preserve">参照箇所：Upgrade methods/stages、mTLS 制約、ダウンロード、段階的更新。</w:t>
      </w:r>
    </w:p>
    <w:p>
      <w:pPr>
        <w:keepNext/>
        <w:spacing w:after="40"/>
      </w:pPr>
      <w:r>
        <w:rPr>
          <w:b w:val="0"/>
        </w:rPr>
        <w:t xml:space="preserve">[S7] </w:t>
      </w:r>
      <w:hyperlink r:id="rId15">
        <w:r>
          <w:rPr>
            <w:sz w:val="20"/>
            <w:color w:val="1F4E79"/>
          </w:rPr>
          <w:t>Upgrade multiple agents in an instance</w:t>
        </w:r>
      </w:hyperlink>
    </w:p>
    <w:p>
      <w:pPr>
        <w:keepLines/>
        <w:spacing w:line="300" w:lineRule="exact" w:after="180"/>
      </w:pPr>
      <w:r>
        <w:rPr>
          <w:b w:val="0"/>
          <w:sz w:val="20"/>
        </w:rPr>
        <w:t xml:space="preserve">ページ日付 2026-03-12</w:t>
        <w:br/>
        <w:t xml:space="preserve">参照箇所：選択的更新手順。概説と最大選択台数の記述に差異があります。</w:t>
      </w:r>
    </w:p>
    <w:p>
      <w:pPr>
        <w:keepNext/>
        <w:spacing w:after="40"/>
      </w:pPr>
      <w:r>
        <w:rPr>
          <w:b w:val="0"/>
        </w:rPr>
        <w:t xml:space="preserve">[S8] </w:t>
      </w:r>
      <w:hyperlink r:id="rId16">
        <w:r>
          <w:rPr>
            <w:sz w:val="20"/>
            <w:color w:val="1F4E79"/>
          </w:rPr>
          <w:t>Run a mass upgrade via the scheduled upgrade job</w:t>
        </w:r>
      </w:hyperlink>
    </w:p>
    <w:p>
      <w:pPr>
        <w:keepLines/>
        <w:spacing w:line="300" w:lineRule="exact" w:after="180"/>
      </w:pPr>
      <w:r>
        <w:rPr>
          <w:b w:val="0"/>
          <w:sz w:val="20"/>
        </w:rPr>
        <w:t xml:space="preserve">ページ日付 2026-05-28</w:t>
        <w:br/>
        <w:t xml:space="preserve">参照箇所：Procedure。ジョブ画面、Active、既定頻度、作業時間帯。</w:t>
      </w:r>
    </w:p>
    <w:p>
      <w:pPr>
        <w:keepNext/>
        <w:spacing w:after="40"/>
      </w:pPr>
      <w:r>
        <w:rPr>
          <w:b w:val="0"/>
        </w:rPr>
        <w:t xml:space="preserve">[S9] </w:t>
      </w:r>
      <w:hyperlink r:id="rId17">
        <w:r>
          <w:rPr>
            <w:sz w:val="20"/>
            <w:color w:val="1F4E79"/>
          </w:rPr>
          <w:t>Run a mass upgrade using a background script</w:t>
        </w:r>
      </w:hyperlink>
    </w:p>
    <w:p>
      <w:pPr>
        <w:keepLines/>
        <w:spacing w:line="300" w:lineRule="exact" w:after="180"/>
      </w:pPr>
      <w:r>
        <w:rPr>
          <w:b w:val="0"/>
          <w:sz w:val="20"/>
        </w:rPr>
        <w:t xml:space="preserve">ページ日付 2026-05-28</w:t>
        <w:br/>
        <w:t xml:space="preserve">参照箇所：即時実行の経路。台数制限は引き続き適用されます。</w:t>
      </w:r>
    </w:p>
    <w:p>
      <w:pPr>
        <w:keepNext/>
        <w:spacing w:after="40"/>
      </w:pPr>
      <w:r>
        <w:rPr>
          <w:b w:val="0"/>
        </w:rPr>
        <w:t xml:space="preserve">[S10] </w:t>
      </w:r>
      <w:hyperlink r:id="rId18">
        <w:r>
          <w:rPr>
            <w:sz w:val="20"/>
            <w:color w:val="1F4E79"/>
          </w:rPr>
          <w:t>ACC upgrade properties</w:t>
        </w:r>
      </w:hyperlink>
    </w:p>
    <w:p>
      <w:pPr>
        <w:keepLines/>
        <w:spacing w:line="300" w:lineRule="exact" w:after="180"/>
      </w:pPr>
      <w:r>
        <w:rPr>
          <w:b w:val="0"/>
          <w:sz w:val="20"/>
        </w:rPr>
        <w:t xml:space="preserve">ページ日付 2026-05-28</w:t>
        <w:br/>
        <w:t xml:space="preserve">参照箇所：更新の有効化、目標版、1回の上限、再試行プロパティ。</w:t>
      </w:r>
    </w:p>
    <w:p>
      <w:pPr>
        <w:pStyle w:val="Heading1"/>
        <w:pageBreakBefore/>
      </w:pPr>
      <w:r>
        <w:t xml:space="preserve">5 公式参考資料（続き）</w:t>
      </w:r>
    </w:p>
    <w:p>
      <w:r>
        <w:rPr>
          <w:b w:val="0"/>
          <w:sz w:val="20"/>
        </w:rPr>
        <w:t xml:space="preserve">推奨方式、設定例、警告閾値、合格条件は本報告書のプロジェクト向け提案であり、原文の逐語的な要件ではありません。</w:t>
      </w:r>
    </w:p>
    <w:p>
      <w:pPr>
        <w:keepNext/>
        <w:spacing w:after="40"/>
      </w:pPr>
      <w:r>
        <w:rPr>
          <w:b w:val="0"/>
        </w:rPr>
        <w:t xml:space="preserve">[S12] </w:t>
      </w:r>
      <w:hyperlink r:id="rId19">
        <w:r>
          <w:rPr>
            <w:sz w:val="20"/>
            <w:color w:val="1F4E79"/>
          </w:rPr>
          <w:t>Supported platforms for auto-upgrade</w:t>
        </w:r>
      </w:hyperlink>
    </w:p>
    <w:p>
      <w:pPr>
        <w:keepLines/>
        <w:spacing w:line="300" w:lineRule="exact" w:after="180"/>
      </w:pPr>
      <w:r>
        <w:rPr>
          <w:b w:val="0"/>
          <w:sz w:val="20"/>
        </w:rPr>
        <w:t xml:space="preserve">ページ日付 2026-05-28</w:t>
        <w:br/>
        <w:t xml:space="preserve">参照箇所：対応 OS と権限。使用版と実行アカウントに合わせて実施前に確認します。</w:t>
      </w:r>
    </w:p>
    <w:p>
      <w:pPr>
        <w:keepNext/>
        <w:spacing w:after="40"/>
      </w:pPr>
      <w:r>
        <w:rPr>
          <w:b w:val="0"/>
        </w:rPr>
        <w:t xml:space="preserve">[S13] </w:t>
      </w:r>
      <w:hyperlink r:id="rId20">
        <w:r>
          <w:rPr>
            <w:sz w:val="20"/>
            <w:color w:val="1F4E79"/>
          </w:rPr>
          <w:t>Perform high-volume ACC upgrade</w:t>
        </w:r>
      </w:hyperlink>
    </w:p>
    <w:p>
      <w:pPr>
        <w:keepLines/>
        <w:spacing w:line="300" w:lineRule="exact" w:after="180"/>
      </w:pPr>
      <w:r>
        <w:rPr>
          <w:b w:val="0"/>
          <w:sz w:val="20"/>
        </w:rPr>
        <w:t xml:space="preserve">ページ日付 2026-03-12</w:t>
        <w:br/>
        <w:t xml:space="preserve">参照箇所：旧ページとS10の既定値の差異。新しい値の採用根拠には使用しません。</w:t>
      </w:r>
    </w:p>
    <w:p>
      <w:pPr>
        <w:keepNext/>
        <w:spacing w:after="40"/>
      </w:pPr>
      <w:r>
        <w:rPr>
          <w:b w:val="0"/>
        </w:rPr>
        <w:t xml:space="preserve">[S14] </w:t>
      </w:r>
      <w:hyperlink r:id="rId21">
        <w:r>
          <w:rPr>
            <w:sz w:val="20"/>
            <w:color w:val="1F4E79"/>
          </w:rPr>
          <w:t>Configure automatic MID selection based on ACC capabilities</w:t>
        </w:r>
      </w:hyperlink>
    </w:p>
    <w:p>
      <w:pPr>
        <w:keepLines/>
        <w:spacing w:line="300" w:lineRule="exact" w:after="180"/>
      </w:pPr>
      <w:r>
        <w:rPr>
          <w:b w:val="0"/>
          <w:sz w:val="20"/>
        </w:rPr>
        <w:t xml:space="preserve">ページ日付 2026-03-12</w:t>
        <w:br/>
        <w:t xml:space="preserve">参照箇所：Procedure と A/B/C の例。能力による候補 MID の限定。</w:t>
      </w:r>
    </w:p>
    <w:p>
      <w:pPr>
        <w:keepNext/>
        <w:spacing w:after="40"/>
      </w:pPr>
      <w:r>
        <w:rPr>
          <w:b w:val="0"/>
        </w:rPr>
        <w:t xml:space="preserve">[S15] </w:t>
      </w:r>
      <w:hyperlink r:id="rId22">
        <w:r>
          <w:rPr>
            <w:sz w:val="20"/>
            <w:color w:val="1F4E79"/>
          </w:rPr>
          <w:t>Configure the Agent Client Collector capabilities for MID Servers</w:t>
        </w:r>
      </w:hyperlink>
    </w:p>
    <w:p>
      <w:pPr>
        <w:keepLines/>
        <w:spacing w:line="300" w:lineRule="exact" w:after="180"/>
      </w:pPr>
      <w:r>
        <w:rPr>
          <w:b w:val="0"/>
          <w:sz w:val="20"/>
        </w:rPr>
        <w:t xml:space="preserve">ページ日付 2026-03-12</w:t>
        <w:br/>
        <w:t xml:space="preserve">参照箇所：Is ACC Capability、同じ能力を持つ MID の候補資格。</w:t>
      </w:r>
    </w:p>
    <w:p>
      <w:pPr>
        <w:keepNext/>
        <w:spacing w:after="40"/>
      </w:pPr>
      <w:r>
        <w:rPr>
          <w:b w:val="0"/>
        </w:rPr>
        <w:t xml:space="preserve">[S16] </w:t>
      </w:r>
      <w:hyperlink r:id="rId23">
        <w:r>
          <w:rPr>
            <w:sz w:val="20"/>
            <w:color w:val="1F4E79"/>
          </w:rPr>
          <w:t>Optimize distribution of agents to MID Servers</w:t>
        </w:r>
      </w:hyperlink>
    </w:p>
    <w:p>
      <w:pPr>
        <w:keepLines/>
        <w:spacing w:line="300" w:lineRule="exact" w:after="180"/>
      </w:pPr>
      <w:r>
        <w:rPr>
          <w:b w:val="0"/>
          <w:sz w:val="20"/>
        </w:rPr>
        <w:t xml:space="preserve">ページ日付 2026-03-12</w:t>
        <w:br/>
        <w:t xml:space="preserve">参照箇所：前提条件、Try redistributing connected agents。接続台数の変化を記録します。</w:t>
      </w:r>
    </w:p>
    <w:p>
      <w:pPr>
        <w:keepNext/>
        <w:spacing w:after="40"/>
      </w:pPr>
      <w:r>
        <w:rPr>
          <w:b w:val="0"/>
        </w:rPr>
        <w:t xml:space="preserve">[S17] </w:t>
      </w:r>
      <w:hyperlink r:id="rId24">
        <w:r>
          <w:rPr>
            <w:sz w:val="20"/>
            <w:color w:val="1F4E79"/>
          </w:rPr>
          <w:t>Secure your Azure Load Balancer deployment</w:t>
        </w:r>
      </w:hyperlink>
    </w:p>
    <w:p>
      <w:pPr>
        <w:keepLines/>
        <w:spacing w:line="300" w:lineRule="exact" w:after="180"/>
      </w:pPr>
      <w:r>
        <w:rPr>
          <w:b w:val="0"/>
          <w:sz w:val="20"/>
        </w:rPr>
        <w:t xml:space="preserve">参照日 2026-09-08</w:t>
        <w:br/>
        <w:t xml:space="preserve">参照箇所：Data protection。レイヤー4 LB は TLS を終端しません。</w:t>
      </w:r>
    </w:p>
    <w:p>
      <w:pPr>
        <w:keepNext/>
        <w:spacing w:after="40"/>
      </w:pPr>
      <w:r>
        <w:rPr>
          <w:b w:val="0"/>
        </w:rPr>
        <w:t xml:space="preserve">[S18] </w:t>
      </w:r>
      <w:hyperlink r:id="rId25">
        <w:r>
          <w:rPr>
            <w:sz w:val="20"/>
            <w:color w:val="1F4E79"/>
          </w:rPr>
          <w:t>Create phased deployments</w:t>
        </w:r>
      </w:hyperlink>
    </w:p>
    <w:p>
      <w:pPr>
        <w:keepLines/>
        <w:spacing w:line="300" w:lineRule="exact" w:after="180"/>
      </w:pPr>
      <w:r>
        <w:rPr>
          <w:b w:val="0"/>
          <w:sz w:val="20"/>
        </w:rPr>
        <w:t xml:space="preserve">参照日 2026-09-08</w:t>
        <w:br/>
        <w:t xml:space="preserve">参照箇所：アプリケーションとコレクションの段階的展開。選択肢は対象種別により制約があります。</w:t>
      </w:r>
    </w:p>
    <w:p>
      <w:pPr>
        <w:keepNext/>
        <w:spacing w:after="40"/>
      </w:pPr>
      <w:r>
        <w:rPr>
          <w:b w:val="0"/>
        </w:rPr>
        <w:t xml:space="preserve">[S19] </w:t>
      </w:r>
      <w:hyperlink r:id="rId26">
        <w:r>
          <w:rPr>
            <w:sz w:val="20"/>
            <w:color w:val="1F4E79"/>
          </w:rPr>
          <w:t>Manage and monitor phased deployments</w:t>
        </w:r>
      </w:hyperlink>
    </w:p>
    <w:p>
      <w:pPr>
        <w:keepLines/>
        <w:spacing w:line="300" w:lineRule="exact" w:after="180"/>
      </w:pPr>
      <w:r>
        <w:rPr>
          <w:b w:val="0"/>
          <w:sz w:val="20"/>
        </w:rPr>
        <w:t xml:space="preserve">参照日 2026-09-08</w:t>
        <w:br/>
        <w:t xml:space="preserve">参照箇所：監視、停止、再開。端末配布機能の根拠としてのみ使用します。</w:t>
      </w:r>
    </w:p>
    <w:p>
      <w:pPr>
        <w:pStyle w:val="Heading2"/>
      </w:pPr>
      <w:r>
        <w:t xml:space="preserve">バージョンによる差異の扱い</w:t>
      </w:r>
    </w:p>
    <w:p>
      <w:r>
        <w:rPr>
          <w:b w:val="0"/>
          <w:sz w:val="20"/>
        </w:rPr>
        <w:t xml:space="preserve">新しく、該当機能を専門に扱うページを優先します。不一致は明記し、どちらかの数値だけで実環境の確認を代替しません。正式変更前に実際の属性、画面、版を記録し、必要なメーカー回答を実施記録に添付します。</w:t>
      </w:r>
    </w:p>
    <w:sectPr w:rsidR="00FC693F" w:rsidRPr="0006063C" w:rsidSect="00034616">
      <w:footerReference w:type="default" r:id="rId9"/>
      <w:pgSz w:w="12240" w:h="15840"/>
      <w:pgMar w:top="936"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ACC と MID Server 調査報告書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0" w:lineRule="exact" w:after="120"/>
    </w:pPr>
    <w:rPr>
      <w:rFonts w:ascii="Calibri" w:hAnsi="Calibri" w:eastAsia="Yu Gothi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40" w:lineRule="auto"/>
      <w:outlineLvl w:val="0"/>
    </w:pPr>
    <w:rPr>
      <w:rFonts w:asciiTheme="majorHAnsi" w:eastAsiaTheme="majorEastAsia" w:hAnsiTheme="majorHAnsi" w:cstheme="majorBidi" w:ascii="Calibri" w:hAnsi="Calibri" w:eastAsia="Yu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20" w:line="240" w:lineRule="auto"/>
      <w:outlineLvl w:val="1"/>
    </w:pPr>
    <w:rPr>
      <w:rFonts w:asciiTheme="majorHAnsi" w:eastAsiaTheme="majorEastAsia" w:hAnsiTheme="majorHAnsi" w:cstheme="majorBidi" w:ascii="Calibri" w:hAnsi="Calibri" w:eastAsia="Yu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9" w:lineRule="auto"/>
      <w:contextualSpacing/>
    </w:pPr>
    <w:rPr>
      <w:rFonts w:asciiTheme="majorHAnsi" w:eastAsiaTheme="majorEastAsia" w:hAnsiTheme="majorHAnsi" w:cstheme="majorBidi" w:ascii="Calibri" w:hAnsi="Calibri" w:eastAsia="Yu Gothic"/>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ervicenow.com/docs/r/it-operations-management/agent-client-collector/acc-enable-load-balancer.html" TargetMode="External"/><Relationship Id="rId11" Type="http://schemas.openxmlformats.org/officeDocument/2006/relationships/hyperlink" Target="https://www.servicenow.com/docs/r/it-operations-management/agent-client-collector/acc-auto-mid-selection.html" TargetMode="External"/><Relationship Id="rId12" Type="http://schemas.openxmlformats.org/officeDocument/2006/relationships/hyperlink" Target="https://www.servicenow.com/docs/r/it-operations-management/agent-client-collector/acc-installation.html" TargetMode="External"/><Relationship Id="rId13" Type="http://schemas.openxmlformats.org/officeDocument/2006/relationships/hyperlink" Target="https://www.servicenow.com/docs/r/servicenow-platform/mid-server/r_MIDServerProperties.html" TargetMode="External"/><Relationship Id="rId14" Type="http://schemas.openxmlformats.org/officeDocument/2006/relationships/hyperlink" Target="https://www.servicenow.com/docs/r/it-operations-management/agent-client-collector/acc-agent-upgrade-overview.html?contentId=y~0bHmWxXhzfwh0_AJaXtQ" TargetMode="External"/><Relationship Id="rId15" Type="http://schemas.openxmlformats.org/officeDocument/2006/relationships/hyperlink" Target="https://www.servicenow.com/docs/r/it-operations-management/agent-client-collector/upgrade-multiple-agents-from-instance.html" TargetMode="External"/><Relationship Id="rId16" Type="http://schemas.openxmlformats.org/officeDocument/2006/relationships/hyperlink" Target="https://www.servicenow.com/docs/r/it-operations-management/agent-client-collector/enable-agent-upgrade-scheduled-job.html" TargetMode="External"/><Relationship Id="rId17" Type="http://schemas.openxmlformats.org/officeDocument/2006/relationships/hyperlink" Target="https://www.servicenow.com/docs/r/it-operations-management/agent-client-collector/run-agent-mass-upgrade-script.html" TargetMode="External"/><Relationship Id="rId18" Type="http://schemas.openxmlformats.org/officeDocument/2006/relationships/hyperlink" Target="https://www.servicenow.com/docs/r/it-operations-management/agent-client-collector/acc-agent-upgrade-properties.html?contentId=f50~L4u0vuhm_S263T6oOQ" TargetMode="External"/><Relationship Id="rId19" Type="http://schemas.openxmlformats.org/officeDocument/2006/relationships/hyperlink" Target="https://www.servicenow.com/docs/r/it-operations-management/agent-client-collector/acc-agent-upgrade-platforms.html" TargetMode="External"/><Relationship Id="rId20" Type="http://schemas.openxmlformats.org/officeDocument/2006/relationships/hyperlink" Target="https://www.servicenow.com/docs/r/fr-FR/it-operations-management/agent-client-collector/acc-high-volume-upgrade.html" TargetMode="External"/><Relationship Id="rId21" Type="http://schemas.openxmlformats.org/officeDocument/2006/relationships/hyperlink" Target="https://www.servicenow.com/docs/r/it-operations-management/agent-client-collector/configure-auto-mid-eligibility-by-capability.html?contentId=1qNJXu5KfmIwuU9I0G3z4Q" TargetMode="External"/><Relationship Id="rId22" Type="http://schemas.openxmlformats.org/officeDocument/2006/relationships/hyperlink" Target="https://www.servicenow.com/docs/r/it-operations-management/agent-client-collector/configure-acc-capability.html?contentId=01uoKLRhVJxwgKEMHOBBCw" TargetMode="External"/><Relationship Id="rId23" Type="http://schemas.openxmlformats.org/officeDocument/2006/relationships/hyperlink" Target="https://www.servicenow.com/docs/r/it-operations-management/agent-client-collector/acc-redistribute-agents-mid.html" TargetMode="External"/><Relationship Id="rId24" Type="http://schemas.openxmlformats.org/officeDocument/2006/relationships/hyperlink" Target="https://learn.microsoft.com/en-us/azure/load-balancer/secure-load-balancer" TargetMode="External"/><Relationship Id="rId25" Type="http://schemas.openxmlformats.org/officeDocument/2006/relationships/hyperlink" Target="https://learn.microsoft.com/en-us/intune/configmgr/osd/deploy-use/create-phased-deployment-for-task-sequence" TargetMode="External"/><Relationship Id="rId26" Type="http://schemas.openxmlformats.org/officeDocument/2006/relationships/hyperlink" Target="https://learn.microsoft.com/en-us/intune/configmgr/osd/deploy-use/manage-monitor-phased-deploy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 と MID Server 接続割当および大規模アップグレードの解決策</dc:title>
  <dc:subject>課題55～57の推奨案、設定手順、合格条件、異常対応</dc:subject>
  <dc:creator/>
  <cp:keywords>ServiceNow, ACC, MID Server, Load Balancer, Upgrade</cp:keywords>
  <dc:description>中国語詳細版の対訳。2026-09-08。お客様環境での実機検証は未実施。</dc:description>
  <cp:lastModifiedBy/>
  <cp:revision>1</cp:revision>
  <dcterms:created xsi:type="dcterms:W3CDTF">2013-12-23T23:15:00Z</dcterms:created>
  <dcterms:modified xsi:type="dcterms:W3CDTF">2013-12-23T23:15:00Z</dcterms:modified>
  <cp:category/>
</cp:coreProperties>
</file>