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WSL CI作成とIRE複合識別ルールの調査</w:t>
      </w:r>
    </w:p>
    <w:p>
      <w:pPr>
        <w:pStyle w:val="Subtitle"/>
      </w:pPr>
      <w:r>
        <w:rPr>
          <w:b w:val="0"/>
        </w:rPr>
        <w:t>調査結果及び検証ガイド   日本語版   2026年10月8日</w:t>
      </w:r>
    </w:p>
    <w:p>
      <w:pPr>
        <w:spacing w:line="300" w:lineRule="exact"/>
      </w:pPr>
      <w:r>
        <w:rPr>
          <w:b w:val="0"/>
        </w:rPr>
        <w:t>対象範囲：ServiceNow Australia、IP Rangeによる水平Discovery及びACC。Windowsユーザーごとに登録されたWSLディストリビューションを、それぞれ個別のCIとして管理します。</w:t>
      </w:r>
    </w:p>
    <w:p>
      <w:pPr>
        <w:pStyle w:val="Heading1"/>
      </w:pPr>
      <w:r>
        <w:t>1 調査結果</w:t>
      </w:r>
    </w:p>
    <w:p>
      <w:pPr>
        <w:spacing w:line="300" w:lineRule="exact"/>
      </w:pPr>
      <w:r>
        <w:rPr>
          <w:b/>
        </w:rPr>
        <w:t>条件付きで実現可能です。ServiceNow IREは複数の属性によるCI識別をサポートしており、すべてのLinux CIにハードウェアUUIDやserial_numberが必須というわけではありません。WSLに信頼できる識別値を付与し、両方のDiscovery経路のIRE payloadに含めることで、専用の識別エントリによりCIを作成し、繰り返し同じCIに照合できます。[R1][R2]</w:t>
      </w:r>
    </w:p>
    <w:p>
      <w:pPr>
        <w:spacing w:line="300" w:lineRule="exact"/>
      </w:pPr>
      <w:r>
        <w:rPr>
          <w:b w:val="0"/>
        </w:rPr>
        <w:t>ルールの追加だけで問題が解決するとは限りません。ルールはフィールドを自動収集せず、ACCのチェック出力をホストCIの属性へ自動でマッピングするものでもありません。本環境での実現可否は、実際のpayload、対象クラス、収集及びマッピングの方法、選定するフィールドの一意性とライフサイクルに依存します。</w:t>
      </w:r>
    </w:p>
    <w:p>
      <w:pPr>
        <w:pStyle w:val="Heading2"/>
      </w:pPr>
      <w:r>
        <w:t>リーダーへの報告用まとめ</w:t>
      </w:r>
    </w:p>
    <w:p>
      <w:pPr>
        <w:spacing w:line="300" w:lineRule="exact"/>
      </w:pPr>
      <w:r>
        <w:rPr>
          <w:b w:val="0"/>
        </w:rPr>
        <w:t>今回の問題は、現行IREルールの識別属性が不足していることであり、WSLではCIを作成できないという意味ではありません。プラットフォームは複合属性による識別をサポートしているため、仕組みとしては実現可能です。まず両方のDiscovery経路が実際に送信したフィールドを確認します。既存のFQDN等について一意性と安定性を確認できれば、対象を限定したPoCに利用できます。条件を満たさない場合は、「Windowsホストの安定した識別子＋所有ユーザーのSID＋WSL登録GUID」を優先的に評価し、収集及びマッピングを追加します。正式な有効化前に、繰り返しDiscovery、両データソースでの照合、ライフサイクル変更を検証し、ルールの影響範囲を限定する必要があります。</w:t>
      </w:r>
    </w:p>
    <w:p>
      <w:pPr>
        <w:pStyle w:val="Heading2"/>
      </w:pPr>
      <w:r>
        <w:t>今回の判定範囲</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7056"/>
      </w:tblGrid>
      <w:tr>
        <w:trPr>
          <w:cantSplit/>
          <w:tblHeader/>
        </w:trPr>
        <w:tc>
          <w:tcPr>
            <w:tcW w:type="dxa" w:w="3024"/>
            <w:vAlign w:val="center"/>
            <w:tcMar>
              <w:top w:w="75" w:type="dxa"/>
              <w:bottom w:w="75" w:type="dxa"/>
              <w:left w:w="90" w:type="dxa"/>
              <w:right w:w="90" w:type="dxa"/>
            </w:tcMar>
            <w:shd w:fill="E7E6E6"/>
          </w:tcPr>
          <w:p>
            <w:pPr>
              <w:spacing w:after="0" w:line="270" w:lineRule="exact"/>
            </w:pPr>
            <w:r>
              <w:rPr>
                <w:b/>
                <w:sz w:val="20"/>
              </w:rPr>
              <w:t>確認事項</w:t>
            </w:r>
          </w:p>
        </w:tc>
        <w:tc>
          <w:tcPr>
            <w:tcW w:type="dxa" w:w="7056"/>
            <w:vAlign w:val="center"/>
            <w:tcMar>
              <w:top w:w="75" w:type="dxa"/>
              <w:bottom w:w="75" w:type="dxa"/>
              <w:left w:w="90" w:type="dxa"/>
              <w:right w:w="90" w:type="dxa"/>
            </w:tcMar>
            <w:shd w:fill="E7E6E6"/>
          </w:tcPr>
          <w:p>
            <w:pPr>
              <w:spacing w:after="0" w:line="270" w:lineRule="exact"/>
            </w:pPr>
            <w:r>
              <w:rPr>
                <w:b/>
                <w:sz w:val="20"/>
              </w:rPr>
              <w:t>現時点の判定</w:t>
            </w:r>
          </w:p>
        </w:tc>
      </w:tr>
      <w:tr>
        <w:trPr>
          <w:cantSplit/>
        </w:trPr>
        <w:tc>
          <w:tcPr>
            <w:tcW w:type="dxa" w:w="3024"/>
            <w:vAlign w:val="center"/>
            <w:tcMar>
              <w:top w:w="75" w:type="dxa"/>
              <w:bottom w:w="75" w:type="dxa"/>
              <w:left w:w="90" w:type="dxa"/>
              <w:right w:w="90" w:type="dxa"/>
            </w:tcMar>
          </w:tcPr>
          <w:p>
            <w:pPr>
              <w:spacing w:after="0" w:line="270" w:lineRule="exact"/>
            </w:pPr>
            <w:r>
              <w:rPr>
                <w:b w:val="0"/>
                <w:sz w:val="20"/>
              </w:rPr>
              <w:t>水平DiscoveryとACCの失敗原因</w:t>
            </w:r>
          </w:p>
        </w:tc>
        <w:tc>
          <w:tcPr>
            <w:tcW w:type="dxa" w:w="7056"/>
            <w:vAlign w:val="center"/>
            <w:tcMar>
              <w:top w:w="75" w:type="dxa"/>
              <w:bottom w:w="75" w:type="dxa"/>
              <w:left w:w="90" w:type="dxa"/>
              <w:right w:w="90" w:type="dxa"/>
            </w:tcMar>
          </w:tcPr>
          <w:p>
            <w:pPr>
              <w:spacing w:after="0" w:line="270" w:lineRule="exact"/>
            </w:pPr>
            <w:r>
              <w:rPr>
                <w:b w:val="0"/>
                <w:sz w:val="20"/>
              </w:rPr>
              <w:t>いずれも、現行識別ルールに必要な属性の不足によりCIを作成できないことを、プロジェクトで確認済みです。</w:t>
            </w:r>
          </w:p>
        </w:tc>
      </w:tr>
      <w:tr>
        <w:trPr>
          <w:cantSplit/>
        </w:trPr>
        <w:tc>
          <w:tcPr>
            <w:tcW w:type="dxa" w:w="3024"/>
            <w:vAlign w:val="center"/>
            <w:tcMar>
              <w:top w:w="75" w:type="dxa"/>
              <w:bottom w:w="75" w:type="dxa"/>
              <w:left w:w="90" w:type="dxa"/>
              <w:right w:w="90" w:type="dxa"/>
            </w:tcMar>
          </w:tcPr>
          <w:p>
            <w:pPr>
              <w:spacing w:after="0" w:line="270" w:lineRule="exact"/>
            </w:pPr>
            <w:r>
              <w:rPr>
                <w:b w:val="0"/>
                <w:sz w:val="20"/>
              </w:rPr>
              <w:t>複合識別のサポート</w:t>
            </w:r>
          </w:p>
        </w:tc>
        <w:tc>
          <w:tcPr>
            <w:tcW w:type="dxa" w:w="7056"/>
            <w:vAlign w:val="center"/>
            <w:tcMar>
              <w:top w:w="75" w:type="dxa"/>
              <w:bottom w:w="75" w:type="dxa"/>
              <w:left w:w="90" w:type="dxa"/>
              <w:right w:w="90" w:type="dxa"/>
            </w:tcMar>
          </w:tcPr>
          <w:p>
            <w:pPr>
              <w:spacing w:after="0" w:line="270" w:lineRule="exact"/>
            </w:pPr>
            <w:r>
              <w:rPr>
                <w:b w:val="0"/>
                <w:sz w:val="20"/>
              </w:rPr>
              <w:t>公式にサポートされています。複数のCriterion Attributesを同じIdentifier Entryに指定できます。[R1]</w:t>
            </w:r>
          </w:p>
        </w:tc>
      </w:tr>
      <w:tr>
        <w:trPr>
          <w:cantSplit/>
        </w:trPr>
        <w:tc>
          <w:tcPr>
            <w:tcW w:type="dxa" w:w="3024"/>
            <w:vAlign w:val="center"/>
            <w:tcMar>
              <w:top w:w="75" w:type="dxa"/>
              <w:bottom w:w="75" w:type="dxa"/>
              <w:left w:w="90" w:type="dxa"/>
              <w:right w:w="90" w:type="dxa"/>
            </w:tcMar>
          </w:tcPr>
          <w:p>
            <w:pPr>
              <w:spacing w:after="0" w:line="270" w:lineRule="exact"/>
            </w:pPr>
            <w:r>
              <w:rPr>
                <w:b w:val="0"/>
                <w:sz w:val="20"/>
              </w:rPr>
              <w:t>既存フィールドの直接利用</w:t>
            </w:r>
          </w:p>
        </w:tc>
        <w:tc>
          <w:tcPr>
            <w:tcW w:type="dxa" w:w="7056"/>
            <w:vAlign w:val="center"/>
            <w:tcMar>
              <w:top w:w="75" w:type="dxa"/>
              <w:bottom w:w="75" w:type="dxa"/>
              <w:left w:w="90" w:type="dxa"/>
              <w:right w:w="90" w:type="dxa"/>
            </w:tcMar>
          </w:tcPr>
          <w:p>
            <w:pPr>
              <w:spacing w:after="0" w:line="270" w:lineRule="exact"/>
            </w:pPr>
            <w:r>
              <w:rPr>
                <w:b w:val="0"/>
                <w:sz w:val="20"/>
              </w:rPr>
              <w:t>両経路の実際のpayloadを比較する必要があります。内容が完全に同一とは仮定できません。</w:t>
            </w:r>
          </w:p>
        </w:tc>
      </w:tr>
      <w:tr>
        <w:trPr>
          <w:cantSplit/>
        </w:trPr>
        <w:tc>
          <w:tcPr>
            <w:tcW w:type="dxa" w:w="3024"/>
            <w:vAlign w:val="center"/>
            <w:tcMar>
              <w:top w:w="75" w:type="dxa"/>
              <w:bottom w:w="75" w:type="dxa"/>
              <w:left w:w="90" w:type="dxa"/>
              <w:right w:w="90" w:type="dxa"/>
            </w:tcMar>
          </w:tcPr>
          <w:p>
            <w:pPr>
              <w:spacing w:after="0" w:line="270" w:lineRule="exact"/>
            </w:pPr>
            <w:r>
              <w:rPr>
                <w:b w:val="0"/>
                <w:sz w:val="20"/>
              </w:rPr>
              <w:t>本インスタンスでの検証結果</w:t>
            </w:r>
          </w:p>
        </w:tc>
        <w:tc>
          <w:tcPr>
            <w:tcW w:type="dxa" w:w="7056"/>
            <w:vAlign w:val="center"/>
            <w:tcMar>
              <w:top w:w="75" w:type="dxa"/>
              <w:bottom w:w="75" w:type="dxa"/>
              <w:left w:w="90" w:type="dxa"/>
              <w:right w:w="90" w:type="dxa"/>
            </w:tcMar>
          </w:tcPr>
          <w:p>
            <w:pPr>
              <w:spacing w:after="0" w:line="270" w:lineRule="exact"/>
            </w:pPr>
            <w:r>
              <w:rPr>
                <w:b w:val="0"/>
                <w:sz w:val="20"/>
              </w:rPr>
              <w:t>未検証です。本結論は技術的な実現可能性の調査結果であり、本番導入済みの方式ではありません。</w:t>
            </w:r>
          </w:p>
        </w:tc>
      </w:tr>
    </w:tbl>
    <w:p>
      <w:pPr>
        <w:spacing w:after="0" w:line="80" w:lineRule="exact"/>
      </w:pPr>
      <w:r>
        <w:rPr>
          <w:sz w:val="4"/>
        </w:rPr>
      </w:r>
    </w:p>
    <w:p>
      <w:pPr>
        <w:spacing w:line="300" w:lineRule="exact"/>
      </w:pPr>
      <w:r>
        <w:rPr>
          <w:b w:val="0"/>
        </w:rPr>
        <w:t>推奨する次の作業：まず第4節の参照のみの証跡収集を実施し、共通のServer ruleは変更しません。その後、第5～7節に従って分離した開発環境で検証します。</w:t>
      </w:r>
    </w:p>
    <w:p>
      <w:pPr>
        <w:pStyle w:val="Heading1"/>
        <w:pageBreakBefore/>
      </w:pPr>
      <w:r>
        <w:t>2 失敗の仕組みと候補フィールド</w:t>
      </w:r>
    </w:p>
    <w:p>
      <w:pPr>
        <w:spacing w:line="300" w:lineRule="exact"/>
      </w:pPr>
      <w:r>
        <w:rPr>
          <w:b w:val="0"/>
        </w:rPr>
        <w:t>IRE payloadとは、Discovery処理がIREへ渡すデータ一式です。Linuxの情報を収集できたことと、CMDBへ保存できることは同義ではありません。対象CIクラスで有効な識別エントリの要件をpayloadが満たして初めて、IREはルールに基づいて同一性を照合できます。</w:t>
      </w:r>
    </w:p>
    <w:p>
      <w:pPr>
        <w:spacing w:line="300" w:lineRule="exact"/>
      </w:pPr>
      <w:r>
        <w:rPr>
          <w:b w:val="0"/>
        </w:rPr>
        <w:t>プロジェクトから報告されたエラーはMISSING_MATCHING_ATTRIBUTESです。対象はcmdb_ci_linux_serverで、cmdb_ci_serverから継承したServer ruleを使用しており、シリアル番号による識別は値の不足によりスキップされています。ACC AgentレコードがMATCHED／UPDATEであっても、LinuxホストCIの作成成功を示すものではありません。両経路の元のエラーとpayloadを、プロジェクトの証跡として保存する必要があります。</w:t>
      </w:r>
    </w:p>
    <w:p>
      <w:pPr>
        <w:pStyle w:val="Heading2"/>
      </w:pPr>
      <w:r>
        <w:t>候補フィールドの比較</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3528"/>
        <w:gridCol w:w="3672"/>
      </w:tblGrid>
      <w:tr>
        <w:trPr>
          <w:cantSplit/>
          <w:tblHeader/>
        </w:trPr>
        <w:tc>
          <w:tcPr>
            <w:tcW w:type="dxa" w:w="2880"/>
            <w:vAlign w:val="center"/>
            <w:tcMar>
              <w:top w:w="75" w:type="dxa"/>
              <w:bottom w:w="75" w:type="dxa"/>
              <w:left w:w="90" w:type="dxa"/>
              <w:right w:w="90" w:type="dxa"/>
            </w:tcMar>
            <w:shd w:fill="E7E6E6"/>
          </w:tcPr>
          <w:p>
            <w:pPr>
              <w:spacing w:after="0" w:line="260" w:lineRule="exact"/>
            </w:pPr>
            <w:r>
              <w:rPr>
                <w:b/>
                <w:sz w:val="19"/>
              </w:rPr>
              <w:t>フィールド又は組合せ</w:t>
            </w:r>
          </w:p>
        </w:tc>
        <w:tc>
          <w:tcPr>
            <w:tcW w:type="dxa" w:w="3528"/>
            <w:vAlign w:val="center"/>
            <w:tcMar>
              <w:top w:w="75" w:type="dxa"/>
              <w:bottom w:w="75" w:type="dxa"/>
              <w:left w:w="90" w:type="dxa"/>
              <w:right w:w="90" w:type="dxa"/>
            </w:tcMar>
            <w:shd w:fill="E7E6E6"/>
          </w:tcPr>
          <w:p>
            <w:pPr>
              <w:spacing w:after="0" w:line="260" w:lineRule="exact"/>
            </w:pPr>
            <w:r>
              <w:rPr>
                <w:b/>
                <w:sz w:val="19"/>
              </w:rPr>
              <w:t>用途及び評価</w:t>
            </w:r>
          </w:p>
        </w:tc>
        <w:tc>
          <w:tcPr>
            <w:tcW w:type="dxa" w:w="3672"/>
            <w:vAlign w:val="center"/>
            <w:tcMar>
              <w:top w:w="75" w:type="dxa"/>
              <w:bottom w:w="75" w:type="dxa"/>
              <w:left w:w="90" w:type="dxa"/>
              <w:right w:w="90" w:type="dxa"/>
            </w:tcMar>
            <w:shd w:fill="E7E6E6"/>
          </w:tcPr>
          <w:p>
            <w:pPr>
              <w:spacing w:after="0" w:line="260" w:lineRule="exact"/>
            </w:pPr>
            <w:r>
              <w:rPr>
                <w:b/>
                <w:sz w:val="19"/>
              </w:rPr>
              <w:t>確認が必要な条件</w:t>
            </w:r>
          </w:p>
        </w:tc>
      </w:tr>
      <w:tr>
        <w:trPr>
          <w:cantSplit/>
        </w:trPr>
        <w:tc>
          <w:tcPr>
            <w:tcW w:type="dxa" w:w="2880"/>
            <w:vAlign w:val="center"/>
            <w:tcMar>
              <w:top w:w="75" w:type="dxa"/>
              <w:bottom w:w="75" w:type="dxa"/>
              <w:left w:w="90" w:type="dxa"/>
              <w:right w:w="90" w:type="dxa"/>
            </w:tcMar>
          </w:tcPr>
          <w:p>
            <w:pPr>
              <w:spacing w:after="0" w:line="260" w:lineRule="exact"/>
            </w:pPr>
            <w:r>
              <w:rPr>
                <w:b w:val="0"/>
                <w:sz w:val="19"/>
              </w:rPr>
              <w:t>fqdn又はhost_name＋dns_domain</w:t>
            </w:r>
          </w:p>
        </w:tc>
        <w:tc>
          <w:tcPr>
            <w:tcW w:type="dxa" w:w="3528"/>
            <w:vAlign w:val="center"/>
            <w:tcMar>
              <w:top w:w="75" w:type="dxa"/>
              <w:bottom w:w="75" w:type="dxa"/>
              <w:left w:w="90" w:type="dxa"/>
              <w:right w:w="90" w:type="dxa"/>
            </w:tcMar>
          </w:tcPr>
          <w:p>
            <w:pPr>
              <w:spacing w:after="0" w:line="260" w:lineRule="exact"/>
            </w:pPr>
            <w:r>
              <w:rPr>
                <w:b w:val="0"/>
                <w:sz w:val="19"/>
              </w:rPr>
              <w:t>低コストのPoC候補です。まず実際に送信されているかを確認します。</w:t>
            </w:r>
          </w:p>
        </w:tc>
        <w:tc>
          <w:tcPr>
            <w:tcW w:type="dxa" w:w="3672"/>
            <w:vAlign w:val="center"/>
            <w:tcMar>
              <w:top w:w="75" w:type="dxa"/>
              <w:bottom w:w="75" w:type="dxa"/>
              <w:left w:w="90" w:type="dxa"/>
              <w:right w:w="90" w:type="dxa"/>
            </w:tcMar>
          </w:tcPr>
          <w:p>
            <w:pPr>
              <w:spacing w:after="0" w:line="260" w:lineRule="exact"/>
            </w:pPr>
            <w:r>
              <w:rPr>
                <w:b w:val="0"/>
                <w:sz w:val="19"/>
              </w:rPr>
              <w:t>各ディストリビューションで一意かつ安定していること。共通の名称やlocaldomainだけでは、一意性を証明できません。</w:t>
            </w:r>
          </w:p>
        </w:tc>
      </w:tr>
      <w:tr>
        <w:trPr>
          <w:cantSplit/>
        </w:trPr>
        <w:tc>
          <w:tcPr>
            <w:tcW w:type="dxa" w:w="2880"/>
            <w:vAlign w:val="center"/>
            <w:tcMar>
              <w:top w:w="75" w:type="dxa"/>
              <w:bottom w:w="75" w:type="dxa"/>
              <w:left w:w="90" w:type="dxa"/>
              <w:right w:w="90" w:type="dxa"/>
            </w:tcMar>
          </w:tcPr>
          <w:p>
            <w:pPr>
              <w:spacing w:after="0" w:line="260" w:lineRule="exact"/>
            </w:pPr>
            <w:r>
              <w:rPr>
                <w:b w:val="0"/>
                <w:sz w:val="19"/>
              </w:rPr>
              <w:t>ホスト識別子＋ユーザーSID＋登録GUID</w:t>
            </w:r>
          </w:p>
        </w:tc>
        <w:tc>
          <w:tcPr>
            <w:tcW w:type="dxa" w:w="3528"/>
            <w:vAlign w:val="center"/>
            <w:tcMar>
              <w:top w:w="75" w:type="dxa"/>
              <w:bottom w:w="75" w:type="dxa"/>
              <w:left w:w="90" w:type="dxa"/>
              <w:right w:w="90" w:type="dxa"/>
            </w:tcMar>
          </w:tcPr>
          <w:p>
            <w:pPr>
              <w:spacing w:after="0" w:line="260" w:lineRule="exact"/>
            </w:pPr>
            <w:r>
              <w:rPr>
                <w:b w:val="0"/>
                <w:sz w:val="19"/>
              </w:rPr>
              <w:t>ユーザーが登録したWSLディストリビューションを表す方式として、本番向けに優先評価します。</w:t>
            </w:r>
          </w:p>
        </w:tc>
        <w:tc>
          <w:tcPr>
            <w:tcW w:type="dxa" w:w="3672"/>
            <w:vAlign w:val="center"/>
            <w:tcMar>
              <w:top w:w="75" w:type="dxa"/>
              <w:bottom w:w="75" w:type="dxa"/>
              <w:left w:w="90" w:type="dxa"/>
              <w:right w:w="90" w:type="dxa"/>
            </w:tcMar>
          </w:tcPr>
          <w:p>
            <w:pPr>
              <w:spacing w:after="0" w:line="260" w:lineRule="exact"/>
            </w:pPr>
            <w:r>
              <w:rPr>
                <w:b w:val="0"/>
                <w:sz w:val="19"/>
              </w:rPr>
              <w:t>Windows側の追加収集が必要です。両方のLinux収集経路から同じ登録対象へ関連付けられることが条件です。[R6][R7]</w:t>
            </w:r>
          </w:p>
        </w:tc>
      </w:tr>
      <w:tr>
        <w:trPr>
          <w:cantSplit/>
        </w:trPr>
        <w:tc>
          <w:tcPr>
            <w:tcW w:type="dxa" w:w="2880"/>
            <w:vAlign w:val="center"/>
            <w:tcMar>
              <w:top w:w="75" w:type="dxa"/>
              <w:bottom w:w="75" w:type="dxa"/>
              <w:left w:w="90" w:type="dxa"/>
              <w:right w:w="90" w:type="dxa"/>
            </w:tcMar>
          </w:tcPr>
          <w:p>
            <w:pPr>
              <w:spacing w:after="0" w:line="260" w:lineRule="exact"/>
            </w:pPr>
            <w:r>
              <w:rPr>
                <w:b w:val="0"/>
                <w:sz w:val="19"/>
              </w:rPr>
              <w:t>ホスト識別子＋派生machine-id</w:t>
            </w:r>
          </w:p>
        </w:tc>
        <w:tc>
          <w:tcPr>
            <w:tcW w:type="dxa" w:w="3528"/>
            <w:vAlign w:val="center"/>
            <w:tcMar>
              <w:top w:w="75" w:type="dxa"/>
              <w:bottom w:w="75" w:type="dxa"/>
              <w:left w:w="90" w:type="dxa"/>
              <w:right w:w="90" w:type="dxa"/>
            </w:tcMar>
          </w:tcPr>
          <w:p>
            <w:pPr>
              <w:spacing w:after="0" w:line="260" w:lineRule="exact"/>
            </w:pPr>
            <w:r>
              <w:rPr>
                <w:b w:val="0"/>
                <w:sz w:val="19"/>
              </w:rPr>
              <w:t>Linux内で元の値を読み取り、アプリケーション専用の識別子を生成します。</w:t>
            </w:r>
          </w:p>
        </w:tc>
        <w:tc>
          <w:tcPr>
            <w:tcW w:type="dxa" w:w="3672"/>
            <w:vAlign w:val="center"/>
            <w:tcMar>
              <w:top w:w="75" w:type="dxa"/>
              <w:bottom w:w="75" w:type="dxa"/>
              <w:left w:w="90" w:type="dxa"/>
              <w:right w:w="90" w:type="dxa"/>
            </w:tcMar>
          </w:tcPr>
          <w:p>
            <w:pPr>
              <w:spacing w:after="0" w:line="260" w:lineRule="exact"/>
            </w:pPr>
            <w:r>
              <w:rPr>
                <w:b w:val="0"/>
                <w:sz w:val="19"/>
              </w:rPr>
              <w:t>クローン後に重複しないこと。移行時の扱いを定義し、machine-idの機密性を考慮する必要があります。[R8]</w:t>
            </w:r>
          </w:p>
        </w:tc>
      </w:tr>
      <w:tr>
        <w:trPr>
          <w:cantSplit/>
        </w:trPr>
        <w:tc>
          <w:tcPr>
            <w:tcW w:type="dxa" w:w="2880"/>
            <w:vAlign w:val="center"/>
            <w:tcMar>
              <w:top w:w="75" w:type="dxa"/>
              <w:bottom w:w="75" w:type="dxa"/>
              <w:left w:w="90" w:type="dxa"/>
              <w:right w:w="90" w:type="dxa"/>
            </w:tcMar>
          </w:tcPr>
          <w:p>
            <w:pPr>
              <w:spacing w:after="0" w:line="260" w:lineRule="exact"/>
            </w:pPr>
            <w:r>
              <w:rPr>
                <w:b w:val="0"/>
                <w:sz w:val="19"/>
              </w:rPr>
              <w:t>ホスト識別子＋SID＋ディストリビューション名</w:t>
            </w:r>
          </w:p>
        </w:tc>
        <w:tc>
          <w:tcPr>
            <w:tcW w:type="dxa" w:w="3528"/>
            <w:vAlign w:val="center"/>
            <w:tcMar>
              <w:top w:w="75" w:type="dxa"/>
              <w:bottom w:w="75" w:type="dxa"/>
              <w:left w:w="90" w:type="dxa"/>
              <w:right w:w="90" w:type="dxa"/>
            </w:tcMar>
          </w:tcPr>
          <w:p>
            <w:pPr>
              <w:spacing w:after="0" w:line="260" w:lineRule="exact"/>
            </w:pPr>
            <w:r>
              <w:rPr>
                <w:b w:val="0"/>
                <w:sz w:val="19"/>
              </w:rPr>
              <w:t>登録GUIDを利用できない場合の、条件付き代替案です。</w:t>
            </w:r>
          </w:p>
        </w:tc>
        <w:tc>
          <w:tcPr>
            <w:tcW w:type="dxa" w:w="3672"/>
            <w:vAlign w:val="center"/>
            <w:tcMar>
              <w:top w:w="75" w:type="dxa"/>
              <w:bottom w:w="75" w:type="dxa"/>
              <w:left w:w="90" w:type="dxa"/>
              <w:right w:w="90" w:type="dxa"/>
            </w:tcMar>
          </w:tcPr>
          <w:p>
            <w:pPr>
              <w:spacing w:after="0" w:line="260" w:lineRule="exact"/>
            </w:pPr>
            <w:r>
              <w:rPr>
                <w:b w:val="0"/>
                <w:sz w:val="19"/>
              </w:rPr>
              <w:t>同名での再作成や名称変更時に、同一性をどう扱うかを事前に定義します。</w:t>
            </w:r>
          </w:p>
        </w:tc>
      </w:tr>
      <w:tr>
        <w:trPr>
          <w:cantSplit/>
        </w:trPr>
        <w:tc>
          <w:tcPr>
            <w:tcW w:type="dxa" w:w="2880"/>
            <w:vAlign w:val="center"/>
            <w:tcMar>
              <w:top w:w="75" w:type="dxa"/>
              <w:bottom w:w="75" w:type="dxa"/>
              <w:left w:w="90" w:type="dxa"/>
              <w:right w:w="90" w:type="dxa"/>
            </w:tcMar>
          </w:tcPr>
          <w:p>
            <w:pPr>
              <w:spacing w:after="0" w:line="260" w:lineRule="exact"/>
            </w:pPr>
            <w:r>
              <w:rPr>
                <w:b w:val="0"/>
                <w:sz w:val="19"/>
              </w:rPr>
              <w:t>object_id</w:t>
            </w:r>
          </w:p>
        </w:tc>
        <w:tc>
          <w:tcPr>
            <w:tcW w:type="dxa" w:w="3528"/>
            <w:vAlign w:val="center"/>
            <w:tcMar>
              <w:top w:w="75" w:type="dxa"/>
              <w:bottom w:w="75" w:type="dxa"/>
              <w:left w:w="90" w:type="dxa"/>
              <w:right w:w="90" w:type="dxa"/>
            </w:tcMar>
          </w:tcPr>
          <w:p>
            <w:pPr>
              <w:spacing w:after="0" w:line="260" w:lineRule="exact"/>
            </w:pPr>
            <w:r>
              <w:rPr>
                <w:b w:val="0"/>
                <w:sz w:val="19"/>
              </w:rPr>
              <w:t>ACC Enhancedの表に記載されており、追加調査の候補です。</w:t>
            </w:r>
          </w:p>
        </w:tc>
        <w:tc>
          <w:tcPr>
            <w:tcW w:type="dxa" w:w="3672"/>
            <w:vAlign w:val="center"/>
            <w:tcMar>
              <w:top w:w="75" w:type="dxa"/>
              <w:bottom w:w="75" w:type="dxa"/>
              <w:left w:w="90" w:type="dxa"/>
              <w:right w:w="90" w:type="dxa"/>
            </w:tcMar>
          </w:tcPr>
          <w:p>
            <w:pPr>
              <w:spacing w:after="0" w:line="260" w:lineRule="exact"/>
            </w:pPr>
            <w:r>
              <w:rPr>
                <w:b w:val="0"/>
                <w:sz w:val="19"/>
              </w:rPr>
              <w:t>実際の値、取得元、安定性及び水平Discoveryでの取得可否は未確認です。[R3]</w:t>
            </w:r>
          </w:p>
        </w:tc>
      </w:tr>
      <w:tr>
        <w:trPr>
          <w:cantSplit/>
        </w:trPr>
        <w:tc>
          <w:tcPr>
            <w:tcW w:type="dxa" w:w="2880"/>
            <w:vAlign w:val="center"/>
            <w:tcMar>
              <w:top w:w="75" w:type="dxa"/>
              <w:bottom w:w="75" w:type="dxa"/>
              <w:left w:w="90" w:type="dxa"/>
              <w:right w:w="90" w:type="dxa"/>
            </w:tcMar>
          </w:tcPr>
          <w:p>
            <w:pPr>
              <w:spacing w:after="0" w:line="260" w:lineRule="exact"/>
            </w:pPr>
            <w:r>
              <w:rPr>
                <w:b w:val="0"/>
                <w:sz w:val="19"/>
              </w:rPr>
              <w:t>プロジェクトで管理するディストリビューションUUID</w:t>
            </w:r>
          </w:p>
        </w:tc>
        <w:tc>
          <w:tcPr>
            <w:tcW w:type="dxa" w:w="3528"/>
            <w:vAlign w:val="center"/>
            <w:tcMar>
              <w:top w:w="75" w:type="dxa"/>
              <w:bottom w:w="75" w:type="dxa"/>
              <w:left w:w="90" w:type="dxa"/>
              <w:right w:w="90" w:type="dxa"/>
            </w:tcMar>
          </w:tcPr>
          <w:p>
            <w:pPr>
              <w:spacing w:after="0" w:line="260" w:lineRule="exact"/>
            </w:pPr>
            <w:r>
              <w:rPr>
                <w:b w:val="0"/>
                <w:sz w:val="19"/>
              </w:rPr>
              <w:t>独自の識別方式を構築できますが、カスタマイズ設計に当たります。</w:t>
            </w:r>
          </w:p>
        </w:tc>
        <w:tc>
          <w:tcPr>
            <w:tcW w:type="dxa" w:w="3672"/>
            <w:vAlign w:val="center"/>
            <w:tcMar>
              <w:top w:w="75" w:type="dxa"/>
              <w:bottom w:w="75" w:type="dxa"/>
              <w:left w:w="90" w:type="dxa"/>
              <w:right w:w="90" w:type="dxa"/>
            </w:tcMar>
          </w:tcPr>
          <w:p>
            <w:pPr>
              <w:spacing w:after="0" w:line="260" w:lineRule="exact"/>
            </w:pPr>
            <w:r>
              <w:rPr>
                <w:b w:val="0"/>
                <w:sz w:val="19"/>
              </w:rPr>
              <w:t>配布、収集、クローン及び再作成の管理が必要です。識別ルールが自動生成するものではありません。</w:t>
            </w:r>
          </w:p>
        </w:tc>
      </w:tr>
      <w:tr>
        <w:trPr>
          <w:cantSplit/>
        </w:trPr>
        <w:tc>
          <w:tcPr>
            <w:tcW w:type="dxa" w:w="2880"/>
            <w:vAlign w:val="center"/>
            <w:tcMar>
              <w:top w:w="75" w:type="dxa"/>
              <w:bottom w:w="75" w:type="dxa"/>
              <w:left w:w="90" w:type="dxa"/>
              <w:right w:w="90" w:type="dxa"/>
            </w:tcMar>
          </w:tcPr>
          <w:p>
            <w:pPr>
              <w:spacing w:after="0" w:line="260" w:lineRule="exact"/>
            </w:pPr>
            <w:r>
              <w:rPr>
                <w:b w:val="0"/>
                <w:sz w:val="19"/>
              </w:rPr>
              <w:t>IP、MAC、OSバージョン、CPU、RAM</w:t>
            </w:r>
          </w:p>
        </w:tc>
        <w:tc>
          <w:tcPr>
            <w:tcW w:type="dxa" w:w="3528"/>
            <w:vAlign w:val="center"/>
            <w:tcMar>
              <w:top w:w="75" w:type="dxa"/>
              <w:bottom w:w="75" w:type="dxa"/>
              <w:left w:w="90" w:type="dxa"/>
              <w:right w:w="90" w:type="dxa"/>
            </w:tcMar>
          </w:tcPr>
          <w:p>
            <w:pPr>
              <w:spacing w:after="0" w:line="260" w:lineRule="exact"/>
            </w:pPr>
            <w:r>
              <w:rPr>
                <w:b w:val="0"/>
                <w:sz w:val="19"/>
              </w:rPr>
              <w:t>説明用の属性です。単独でも組合せでも、長期的な識別キーには推奨しません。</w:t>
            </w:r>
          </w:p>
        </w:tc>
        <w:tc>
          <w:tcPr>
            <w:tcW w:type="dxa" w:w="3672"/>
            <w:vAlign w:val="center"/>
            <w:tcMar>
              <w:top w:w="75" w:type="dxa"/>
              <w:bottom w:w="75" w:type="dxa"/>
              <w:left w:w="90" w:type="dxa"/>
              <w:right w:w="90" w:type="dxa"/>
            </w:tcMar>
          </w:tcPr>
          <w:p>
            <w:pPr>
              <w:spacing w:after="0" w:line="260" w:lineRule="exact"/>
            </w:pPr>
            <w:r>
              <w:rPr>
                <w:b w:val="0"/>
                <w:sz w:val="19"/>
              </w:rPr>
              <w:t>共有又は変更される可能性があります。WSL 2のディストリビューションは一部のリソースを共有します。[R5]</w:t>
            </w:r>
          </w:p>
        </w:tc>
      </w:tr>
      <w:tr>
        <w:trPr>
          <w:cantSplit/>
        </w:trPr>
        <w:tc>
          <w:tcPr>
            <w:tcW w:type="dxa" w:w="2880"/>
            <w:vAlign w:val="center"/>
            <w:tcMar>
              <w:top w:w="75" w:type="dxa"/>
              <w:bottom w:w="75" w:type="dxa"/>
              <w:left w:w="90" w:type="dxa"/>
              <w:right w:w="90" w:type="dxa"/>
            </w:tcMar>
          </w:tcPr>
          <w:p>
            <w:pPr>
              <w:spacing w:after="0" w:line="260" w:lineRule="exact"/>
            </w:pPr>
            <w:r>
              <w:rPr>
                <w:b w:val="0"/>
                <w:sz w:val="19"/>
              </w:rPr>
              <w:t>internal_id、ACC Agent ID</w:t>
            </w:r>
          </w:p>
        </w:tc>
        <w:tc>
          <w:tcPr>
            <w:tcW w:type="dxa" w:w="3528"/>
            <w:vAlign w:val="center"/>
            <w:tcMar>
              <w:top w:w="75" w:type="dxa"/>
              <w:bottom w:w="75" w:type="dxa"/>
              <w:left w:w="90" w:type="dxa"/>
              <w:right w:w="90" w:type="dxa"/>
            </w:tcMar>
          </w:tcPr>
          <w:p>
            <w:pPr>
              <w:spacing w:after="0" w:line="260" w:lineRule="exact"/>
            </w:pPr>
            <w:r>
              <w:rPr>
                <w:b w:val="0"/>
                <w:sz w:val="19"/>
              </w:rPr>
              <w:t>両データソースで共通のホスト一意キーとして、そのまま利用することはできません。</w:t>
            </w:r>
          </w:p>
        </w:tc>
        <w:tc>
          <w:tcPr>
            <w:tcW w:type="dxa" w:w="3672"/>
            <w:vAlign w:val="center"/>
            <w:tcMar>
              <w:top w:w="75" w:type="dxa"/>
              <w:bottom w:w="75" w:type="dxa"/>
              <w:left w:w="90" w:type="dxa"/>
              <w:right w:w="90" w:type="dxa"/>
            </w:tcMar>
          </w:tcPr>
          <w:p>
            <w:pPr>
              <w:spacing w:after="0" w:line="260" w:lineRule="exact"/>
            </w:pPr>
            <w:r>
              <w:rPr>
                <w:b w:val="0"/>
                <w:sz w:val="19"/>
              </w:rPr>
              <w:t>internal_idの一意性要件は単一payload内に限られます。Agentの同一性とホストの同一性は異なります。[R4]</w:t>
            </w:r>
          </w:p>
        </w:tc>
      </w:tr>
    </w:tbl>
    <w:p>
      <w:pPr>
        <w:spacing w:after="0" w:line="80" w:lineRule="exact"/>
      </w:pPr>
      <w:r>
        <w:rPr>
          <w:sz w:val="4"/>
        </w:rPr>
      </w:r>
    </w:p>
    <w:p>
      <w:pPr>
        <w:spacing w:line="300" w:lineRule="exact"/>
      </w:pPr>
      <w:r>
        <w:rPr>
          <w:b w:val="0"/>
        </w:rPr>
        <w:t>name＋host_name＋fqdnは、通常、同じ名称を別の形式で表したものです。3つのフィールドを連結しても、信頼できる一意性が得られるわけではありません。複数の欠損値や変動しやすい値を組み合わせても、同一性の問題を解決したことにはなりません。</w:t>
      </w:r>
    </w:p>
    <w:p>
      <w:pPr>
        <w:pStyle w:val="Heading1"/>
        <w:pageBreakBefore/>
      </w:pPr>
      <w:r>
        <w:t>3 推奨する識別設計とデータフロー</w:t>
      </w:r>
    </w:p>
    <w:p>
      <w:pPr>
        <w:pStyle w:val="Heading2"/>
      </w:pPr>
      <w:r>
        <w:t>CIが何を表すかを先に定義</w:t>
      </w:r>
    </w:p>
    <w:p>
      <w:pPr>
        <w:spacing w:line="300" w:lineRule="exact"/>
      </w:pPr>
      <w:r>
        <w:rPr>
          <w:b w:val="0"/>
        </w:rPr>
        <w:t>本報告は、「ユーザーごとに登録されたWSLディストリビューションを個別のCIとして作成する」設計です。共通の軽量VMだけを管理する場合や、移行後も同じCIを維持する場合は、同一性の定義を変更する必要があります。WSL 2のディストリビューションはネットワーク及び一部のシステムリソースを共有するため、独立したVMのハードウェア識別と同じには扱えません。[R5]</w:t>
      </w:r>
    </w:p>
    <w:p>
      <w:pPr>
        <w:pStyle w:val="Heading2"/>
      </w:pPr>
      <w:r>
        <w:t>正式方式として優先評価する組合せ</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736"/>
        <w:gridCol w:w="4824"/>
      </w:tblGrid>
      <w:tr>
        <w:trPr>
          <w:cantSplit/>
          <w:tblHeader/>
        </w:trPr>
        <w:tc>
          <w:tcPr>
            <w:tcW w:type="dxa" w:w="2520"/>
            <w:vAlign w:val="center"/>
            <w:tcMar>
              <w:top w:w="75" w:type="dxa"/>
              <w:bottom w:w="75" w:type="dxa"/>
              <w:left w:w="90" w:type="dxa"/>
              <w:right w:w="90" w:type="dxa"/>
            </w:tcMar>
            <w:shd w:fill="E7E6E6"/>
          </w:tcPr>
          <w:p>
            <w:pPr>
              <w:spacing w:after="0" w:line="270" w:lineRule="exact"/>
            </w:pPr>
            <w:r>
              <w:rPr>
                <w:b/>
                <w:sz w:val="20"/>
              </w:rPr>
              <w:t>提案フィールド</w:t>
            </w:r>
          </w:p>
        </w:tc>
        <w:tc>
          <w:tcPr>
            <w:tcW w:type="dxa" w:w="2736"/>
            <w:vAlign w:val="center"/>
            <w:tcMar>
              <w:top w:w="75" w:type="dxa"/>
              <w:bottom w:w="75" w:type="dxa"/>
              <w:left w:w="90" w:type="dxa"/>
              <w:right w:w="90" w:type="dxa"/>
            </w:tcMar>
            <w:shd w:fill="E7E6E6"/>
          </w:tcPr>
          <w:p>
            <w:pPr>
              <w:spacing w:after="0" w:line="270" w:lineRule="exact"/>
            </w:pPr>
            <w:r>
              <w:rPr>
                <w:b/>
                <w:sz w:val="20"/>
              </w:rPr>
              <w:t>保存内容</w:t>
            </w:r>
          </w:p>
        </w:tc>
        <w:tc>
          <w:tcPr>
            <w:tcW w:type="dxa" w:w="4824"/>
            <w:vAlign w:val="center"/>
            <w:tcMar>
              <w:top w:w="75" w:type="dxa"/>
              <w:bottom w:w="75" w:type="dxa"/>
              <w:left w:w="90" w:type="dxa"/>
              <w:right w:w="90" w:type="dxa"/>
            </w:tcMar>
            <w:shd w:fill="E7E6E6"/>
          </w:tcPr>
          <w:p>
            <w:pPr>
              <w:spacing w:after="0" w:line="270" w:lineRule="exact"/>
            </w:pPr>
            <w:r>
              <w:rPr>
                <w:b/>
                <w:sz w:val="20"/>
              </w:rPr>
              <w:t>値の選定方針</w:t>
            </w:r>
          </w:p>
        </w:tc>
      </w:tr>
      <w:tr>
        <w:trPr>
          <w:cantSplit/>
        </w:trPr>
        <w:tc>
          <w:tcPr>
            <w:tcW w:type="dxa" w:w="2520"/>
            <w:vAlign w:val="center"/>
            <w:tcMar>
              <w:top w:w="75" w:type="dxa"/>
              <w:bottom w:w="75" w:type="dxa"/>
              <w:left w:w="90" w:type="dxa"/>
              <w:right w:w="90" w:type="dxa"/>
            </w:tcMar>
          </w:tcPr>
          <w:p>
            <w:pPr>
              <w:spacing w:after="0" w:line="270" w:lineRule="exact"/>
            </w:pPr>
            <w:r>
              <w:rPr>
                <w:b w:val="0"/>
                <w:sz w:val="20"/>
              </w:rPr>
              <w:t>u_wsl_host_id</w:t>
            </w:r>
          </w:p>
        </w:tc>
        <w:tc>
          <w:tcPr>
            <w:tcW w:type="dxa" w:w="2736"/>
            <w:vAlign w:val="center"/>
            <w:tcMar>
              <w:top w:w="75" w:type="dxa"/>
              <w:bottom w:w="75" w:type="dxa"/>
              <w:left w:w="90" w:type="dxa"/>
              <w:right w:w="90" w:type="dxa"/>
            </w:tcMar>
          </w:tcPr>
          <w:p>
            <w:pPr>
              <w:spacing w:after="0" w:line="270" w:lineRule="exact"/>
            </w:pPr>
            <w:r>
              <w:rPr>
                <w:b w:val="0"/>
                <w:sz w:val="20"/>
              </w:rPr>
              <w:t>Windowsホストの安定した識別子</w:t>
            </w:r>
          </w:p>
        </w:tc>
        <w:tc>
          <w:tcPr>
            <w:tcW w:type="dxa" w:w="4824"/>
            <w:vAlign w:val="center"/>
            <w:tcMar>
              <w:top w:w="75" w:type="dxa"/>
              <w:bottom w:w="75" w:type="dxa"/>
              <w:left w:w="90" w:type="dxa"/>
              <w:right w:w="90" w:type="dxa"/>
            </w:tcMar>
          </w:tcPr>
          <w:p>
            <w:pPr>
              <w:spacing w:after="0" w:line="270" w:lineRule="exact"/>
            </w:pPr>
            <w:r>
              <w:rPr>
                <w:b w:val="0"/>
                <w:sz w:val="20"/>
              </w:rPr>
              <w:t>信頼できる既存の資産識別子、又は識別済みWindows CIのsys_idを選定します。両経路で統一し、IPや変更可能な名称は避けます。</w:t>
            </w:r>
          </w:p>
        </w:tc>
      </w:tr>
      <w:tr>
        <w:trPr>
          <w:cantSplit/>
        </w:trPr>
        <w:tc>
          <w:tcPr>
            <w:tcW w:type="dxa" w:w="2520"/>
            <w:vAlign w:val="center"/>
            <w:tcMar>
              <w:top w:w="75" w:type="dxa"/>
              <w:bottom w:w="75" w:type="dxa"/>
              <w:left w:w="90" w:type="dxa"/>
              <w:right w:w="90" w:type="dxa"/>
            </w:tcMar>
          </w:tcPr>
          <w:p>
            <w:pPr>
              <w:spacing w:after="0" w:line="270" w:lineRule="exact"/>
            </w:pPr>
            <w:r>
              <w:rPr>
                <w:b w:val="0"/>
                <w:sz w:val="20"/>
              </w:rPr>
              <w:t>u_wsl_owner_sid</w:t>
            </w:r>
          </w:p>
        </w:tc>
        <w:tc>
          <w:tcPr>
            <w:tcW w:type="dxa" w:w="2736"/>
            <w:vAlign w:val="center"/>
            <w:tcMar>
              <w:top w:w="75" w:type="dxa"/>
              <w:bottom w:w="75" w:type="dxa"/>
              <w:left w:w="90" w:type="dxa"/>
              <w:right w:w="90" w:type="dxa"/>
            </w:tcMar>
          </w:tcPr>
          <w:p>
            <w:pPr>
              <w:spacing w:after="0" w:line="270" w:lineRule="exact"/>
            </w:pPr>
            <w:r>
              <w:rPr>
                <w:b w:val="0"/>
                <w:sz w:val="20"/>
              </w:rPr>
              <w:t>ディストリビューションを登録したWindowsユーザーのSID</w:t>
            </w:r>
          </w:p>
        </w:tc>
        <w:tc>
          <w:tcPr>
            <w:tcW w:type="dxa" w:w="4824"/>
            <w:vAlign w:val="center"/>
            <w:tcMar>
              <w:top w:w="75" w:type="dxa"/>
              <w:bottom w:w="75" w:type="dxa"/>
              <w:left w:w="90" w:type="dxa"/>
              <w:right w:w="90" w:type="dxa"/>
            </w:tcMar>
          </w:tcPr>
          <w:p>
            <w:pPr>
              <w:spacing w:after="0" w:line="270" w:lineRule="exact"/>
            </w:pPr>
            <w:r>
              <w:rPr>
                <w:b w:val="0"/>
                <w:sz w:val="20"/>
              </w:rPr>
              <w:t>ディストリビューションの所有ユーザーを参照します。MIDサービスアカウントやLinuxユーザーのUIDではありません。</w:t>
            </w:r>
          </w:p>
        </w:tc>
      </w:tr>
      <w:tr>
        <w:trPr>
          <w:cantSplit/>
        </w:trPr>
        <w:tc>
          <w:tcPr>
            <w:tcW w:type="dxa" w:w="2520"/>
            <w:vAlign w:val="center"/>
            <w:tcMar>
              <w:top w:w="75" w:type="dxa"/>
              <w:bottom w:w="75" w:type="dxa"/>
              <w:left w:w="90" w:type="dxa"/>
              <w:right w:w="90" w:type="dxa"/>
            </w:tcMar>
          </w:tcPr>
          <w:p>
            <w:pPr>
              <w:spacing w:after="0" w:line="270" w:lineRule="exact"/>
            </w:pPr>
            <w:r>
              <w:rPr>
                <w:b w:val="0"/>
                <w:sz w:val="20"/>
              </w:rPr>
              <w:t>u_wsl_distro_guid</w:t>
            </w:r>
          </w:p>
        </w:tc>
        <w:tc>
          <w:tcPr>
            <w:tcW w:type="dxa" w:w="2736"/>
            <w:vAlign w:val="center"/>
            <w:tcMar>
              <w:top w:w="75" w:type="dxa"/>
              <w:bottom w:w="75" w:type="dxa"/>
              <w:left w:w="90" w:type="dxa"/>
              <w:right w:w="90" w:type="dxa"/>
            </w:tcMar>
          </w:tcPr>
          <w:p>
            <w:pPr>
              <w:spacing w:after="0" w:line="270" w:lineRule="exact"/>
            </w:pPr>
            <w:r>
              <w:rPr>
                <w:b w:val="0"/>
                <w:sz w:val="20"/>
              </w:rPr>
              <w:t>LxssレジストリのディストリビューションGUID</w:t>
            </w:r>
          </w:p>
        </w:tc>
        <w:tc>
          <w:tcPr>
            <w:tcW w:type="dxa" w:w="4824"/>
            <w:vAlign w:val="center"/>
            <w:tcMar>
              <w:top w:w="75" w:type="dxa"/>
              <w:bottom w:w="75" w:type="dxa"/>
              <w:left w:w="90" w:type="dxa"/>
              <w:right w:w="90" w:type="dxa"/>
            </w:tcMar>
          </w:tcPr>
          <w:p>
            <w:pPr>
              <w:spacing w:after="0" w:line="270" w:lineRule="exact"/>
            </w:pPr>
            <w:r>
              <w:rPr>
                <w:b w:val="0"/>
                <w:sz w:val="20"/>
              </w:rPr>
              <w:t>大文字／小文字及び波括弧の形式を統一します。登録のライフサイクルは実機検証が必要です。</w:t>
            </w:r>
          </w:p>
        </w:tc>
      </w:tr>
    </w:tbl>
    <w:p>
      <w:pPr>
        <w:spacing w:after="0" w:line="80" w:lineRule="exact"/>
      </w:pPr>
      <w:r>
        <w:rPr>
          <w:sz w:val="4"/>
        </w:rPr>
      </w:r>
    </w:p>
    <w:p>
      <w:pPr>
        <w:spacing w:line="300" w:lineRule="exact"/>
      </w:pPr>
      <w:r>
        <w:rPr>
          <w:b w:val="0"/>
        </w:rPr>
        <w:t>これは設計上の提案であり、ServiceNowが標準提供する識別キーではありません。Microsoftの資料はLxssのGUIDサブキー構造を示しますが、登録解除、インポート又は移行後もGUIDが不変であることは保証していません。[R6][R7]</w:t>
      </w:r>
    </w:p>
    <w:p>
      <w:pPr>
        <w:pStyle w:val="Heading2"/>
      </w:pPr>
      <w:r>
        <w:t>両経路で同じ識別方式を使用</w:t>
      </w:r>
    </w:p>
    <w:p>
      <w:pPr>
        <w:spacing w:line="300" w:lineRule="exact"/>
      </w:pPr>
      <w:r>
        <w:rPr>
          <w:b w:val="0"/>
        </w:rPr>
        <w:t>水平Discovery：SSH／Linux Patternでホスト情報を収集 → Windows側のディストリビューション登録情報と関連付け → IRE呼出し前に複合識別フィールドと対象クラスを補完 → IRE。</w:t>
      </w:r>
    </w:p>
    <w:p>
      <w:pPr>
        <w:spacing w:line="300" w:lineRule="exact"/>
      </w:pPr>
      <w:r>
        <w:rPr>
          <w:b w:val="0"/>
        </w:rPr>
        <w:t>ACC：Host Dataでホスト情報を収集 → 現行ACCバージョンでサポートされるホストデータ処理／マッピングにより複合識別フィールドと対象クラスを補完 → IRE。</w:t>
      </w:r>
    </w:p>
    <w:p>
      <w:pPr>
        <w:spacing w:line="300" w:lineRule="exact"/>
      </w:pPr>
      <w:r>
        <w:rPr>
          <w:b w:val="0"/>
        </w:rPr>
        <w:t>LinuxディストリビューションとWindows登録GUIDを、確実に関連付ける必要があります。WSL_DISTRO_NAMEやユーザー名等は補助情報にとどまり、同名や共通ホスト名が存在する場合、一意性の根拠にはできません。関連付けの方式を検証し、維持管理の責任者を定めます。</w:t>
      </w:r>
    </w:p>
    <w:p>
      <w:pPr>
        <w:pStyle w:val="Heading2"/>
      </w:pPr>
      <w:r>
        <w:t>低コスト方式及び代替方式</w:t>
      </w:r>
    </w:p>
    <w:p>
      <w:pPr>
        <w:spacing w:line="300" w:lineRule="exact"/>
      </w:pPr>
      <w:r>
        <w:rPr>
          <w:b w:val="0"/>
        </w:rPr>
        <w:t>両方のpayloadに、各ディストリビューションで一意かつ安定したFQDNが含まれている場合は、まずFQDNでIREの識別機構を検証できます。ただし、対象を限定したPoCであることを明記します。Linux側からのみ値を取得できる場合は、ホスト識別子＋アプリケーション専用の派生machine-idを評価します。クローンによる重複を検証し、元のmachine-idに関するsystemdの機密性要件を守る必要があります。[R8]</w:t>
      </w:r>
    </w:p>
    <w:p>
      <w:pPr>
        <w:spacing w:line="300" w:lineRule="exact"/>
      </w:pPr>
      <w:r>
        <w:rPr>
          <w:b w:val="0"/>
        </w:rPr>
        <w:t>同じディストリビューションを別のWindowsユーザー又はホストで再登録した場合、本報告では「登録インスタンス」の定義に従い、原則として新しい対象と扱います。元のCIを維持する業務要件がある場合は、明示的な移行手順が必要です。一意性の弱い名称照合による自動上書きは行いません。</w:t>
      </w:r>
    </w:p>
    <w:p>
      <w:pPr>
        <w:pStyle w:val="Heading1"/>
        <w:pageBreakBefore/>
      </w:pPr>
      <w:r>
        <w:t>4 最初に行う参照のみの証跡収集</w:t>
      </w:r>
    </w:p>
    <w:p>
      <w:pPr>
        <w:spacing w:line="300" w:lineRule="exact"/>
      </w:pPr>
      <w:r>
        <w:rPr>
          <w:b w:val="0"/>
        </w:rPr>
        <w:t>本節ではIRE、Pattern、ACC、システム識別子及びCMDBレコードを変更しません。WSLのサンプルを1台選び、水平DiscoveryとACCそれぞれの実行日時、エラー、実際のIRE入力及び出力を保存します。外部共有前に、プロジェクトのルールに従ってマスキングします。</w:t>
      </w:r>
    </w:p>
    <w:p>
      <w:pPr>
        <w:pStyle w:val="Heading2"/>
      </w:pPr>
      <w:r>
        <w:t>ServiceNowでの確認</w:t>
      </w:r>
    </w:p>
    <w:p>
      <w:pPr>
        <w:spacing w:line="300" w:lineRule="exact"/>
      </w:pPr>
      <w:r>
        <w:rPr>
          <w:b w:val="0"/>
        </w:rPr>
        <w:t>1. CI Class ManagerでLinux Serverを選択し、Identification Ruleを参照します。定義元クラス、継承関係、各エントリのPriority、Criterion Attributes及びAllow null attributeを記録します。参照のみとし、保存はしません。[R1][R2]</w:t>
      </w:r>
    </w:p>
    <w:p>
      <w:pPr>
        <w:spacing w:line="300" w:lineRule="exact"/>
      </w:pPr>
      <w:r>
        <w:rPr>
          <w:b w:val="0"/>
        </w:rPr>
        <w:t>2. 水平Discoveryでは、該当するDiscovery StatusとPattern実行記録から、今回のホストデータ及びIREエラーを確認します。ACCでは、該当AgentのHost Data実行と関連処理ログから、ホストCIのpayloadを取得します。具体的な画面はインストール済みコンテンツのバージョンで異なるため、インスタンス管理者の協力を得てエクスポートします。フィールド表示画面だけでpayloadの内容を推定しません。</w:t>
      </w:r>
    </w:p>
    <w:p>
      <w:pPr>
        <w:spacing w:line="300" w:lineRule="exact"/>
      </w:pPr>
      <w:r>
        <w:rPr>
          <w:b w:val="0"/>
        </w:rPr>
        <w:t>3. className、name、host_name、fqdn、dns_domain、serial_number、object_id及びsys_object_source_infoを比較します。各フィールドが「値あり」「空値」「未送信」のいずれかを記録し、実際に使用された識別エントリも確認します。</w:t>
      </w:r>
    </w:p>
    <w:p>
      <w:pPr>
        <w:pStyle w:val="Heading2"/>
      </w:pPr>
      <w:r>
        <w:t>所有WindowsユーザーのPowerShellでの確認</w:t>
      </w:r>
    </w:p>
    <w:p>
      <w:pPr>
        <w:spacing w:line="300" w:lineRule="exact"/>
      </w:pPr>
      <w:r>
        <w:rPr>
          <w:b w:val="0"/>
        </w:rPr>
        <w:t>以下のコマンドは、対象Windows上で実行します。手元の個人PCやMIDサービスアカウントのコンテキストでは実行しません。SIDとGUIDはプロジェクト内の分析にのみ使用し、パスワードは含みません。[R6][R7]</w:t>
      </w:r>
    </w:p>
    <w:p>
      <w:pPr>
        <w:pStyle w:val="Code"/>
        <w:keepNext/>
      </w:pPr>
      <w:r>
        <w:rPr>
          <w:b w:val="0"/>
        </w:rPr>
        <w:t>wsl --list --verbose</w:t>
      </w:r>
    </w:p>
    <w:p>
      <w:pPr>
        <w:pStyle w:val="Code"/>
        <w:keepNext/>
      </w:pPr>
      <w:r>
        <w:rPr>
          <w:b w:val="0"/>
        </w:rPr>
        <w:t>$sid = [System.Security.Principal.WindowsIdentity]::GetCurrent().User.Value</w:t>
      </w:r>
    </w:p>
    <w:p>
      <w:pPr>
        <w:pStyle w:val="Code"/>
        <w:keepNext/>
      </w:pPr>
      <w:r>
        <w:rPr>
          <w:b w:val="0"/>
        </w:rPr>
        <w:t>Get-ChildItem 'HKCU:\Software\Microsoft\Windows\CurrentVersion\Lxss' |</w:t>
      </w:r>
    </w:p>
    <w:p>
      <w:pPr>
        <w:pStyle w:val="Code"/>
        <w:keepNext/>
      </w:pPr>
      <w:r>
        <w:rPr>
          <w:b w:val="0"/>
        </w:rPr>
        <w:t xml:space="preserve">  ForEach-Object {</w:t>
      </w:r>
    </w:p>
    <w:p>
      <w:pPr>
        <w:pStyle w:val="Code"/>
        <w:keepNext/>
      </w:pPr>
      <w:r>
        <w:rPr>
          <w:b w:val="0"/>
        </w:rPr>
        <w:t xml:space="preserve">    [pscustomobject]@{</w:t>
      </w:r>
    </w:p>
    <w:p>
      <w:pPr>
        <w:pStyle w:val="Code"/>
        <w:keepNext/>
      </w:pPr>
      <w:r>
        <w:rPr>
          <w:b w:val="0"/>
        </w:rPr>
        <w:t xml:space="preserve">      OwnerSID = $sid</w:t>
      </w:r>
    </w:p>
    <w:p>
      <w:pPr>
        <w:pStyle w:val="Code"/>
        <w:keepNext/>
      </w:pPr>
      <w:r>
        <w:rPr>
          <w:b w:val="0"/>
        </w:rPr>
        <w:t xml:space="preserve">      DistroGUID = $_.PSChildName</w:t>
      </w:r>
    </w:p>
    <w:p>
      <w:pPr>
        <w:pStyle w:val="Code"/>
        <w:keepNext/>
      </w:pPr>
      <w:r>
        <w:rPr>
          <w:b w:val="0"/>
        </w:rPr>
        <w:t xml:space="preserve">      DistributionName = $_.GetValue('DistributionName')</w:t>
      </w:r>
    </w:p>
    <w:p>
      <w:pPr>
        <w:pStyle w:val="Code"/>
        <w:keepNext/>
      </w:pPr>
      <w:r>
        <w:rPr>
          <w:b w:val="0"/>
        </w:rPr>
        <w:t xml:space="preserve">    }</w:t>
      </w:r>
    </w:p>
    <w:p>
      <w:pPr>
        <w:pStyle w:val="Code"/>
        <w:keepNext w:val="0"/>
      </w:pPr>
      <w:r>
        <w:rPr>
          <w:b w:val="0"/>
        </w:rPr>
        <w:t xml:space="preserve">  }</w:t>
      </w:r>
    </w:p>
    <w:p>
      <w:pPr>
        <w:spacing w:after="0" w:line="80" w:lineRule="exact"/>
      </w:pPr>
      <w:r>
        <w:rPr>
          <w:sz w:val="4"/>
        </w:rPr>
      </w:r>
    </w:p>
    <w:p>
      <w:pPr>
        <w:pStyle w:val="Heading2"/>
      </w:pPr>
      <w:r>
        <w:t>対象WSLディストリビューション内での確認</w:t>
      </w:r>
    </w:p>
    <w:p>
      <w:pPr>
        <w:pStyle w:val="Code"/>
        <w:keepNext/>
      </w:pPr>
      <w:r>
        <w:rPr>
          <w:b w:val="0"/>
        </w:rPr>
        <w:t>hostname</w:t>
      </w:r>
    </w:p>
    <w:p>
      <w:pPr>
        <w:pStyle w:val="Code"/>
        <w:keepNext/>
      </w:pPr>
      <w:r>
        <w:rPr>
          <w:b w:val="0"/>
        </w:rPr>
        <w:t>hostname -f</w:t>
      </w:r>
    </w:p>
    <w:p>
      <w:pPr>
        <w:pStyle w:val="Code"/>
        <w:keepNext/>
      </w:pPr>
      <w:r>
        <w:rPr>
          <w:b w:val="0"/>
        </w:rPr>
        <w:t>printf 'WSL_DISTRO_NAME=%s\n' "$WSL_DISTRO_NAME"</w:t>
      </w:r>
    </w:p>
    <w:p>
      <w:pPr>
        <w:pStyle w:val="Code"/>
        <w:keepNext/>
      </w:pPr>
      <w:r>
        <w:rPr>
          <w:b w:val="0"/>
        </w:rPr>
        <w:t>uname -r</w:t>
      </w:r>
    </w:p>
    <w:p>
      <w:pPr>
        <w:pStyle w:val="Code"/>
        <w:keepNext/>
      </w:pPr>
      <w:r>
        <w:rPr>
          <w:b w:val="0"/>
        </w:rPr>
        <w:t>if [ -s /etc/machine-id ]; then</w:t>
      </w:r>
    </w:p>
    <w:p>
      <w:pPr>
        <w:pStyle w:val="Code"/>
        <w:keepNext/>
      </w:pPr>
      <w:r>
        <w:rPr>
          <w:b w:val="0"/>
        </w:rPr>
        <w:t xml:space="preserve">  awk '{print "machine-id length:", length($0)}' /etc/machine-id</w:t>
      </w:r>
    </w:p>
    <w:p>
      <w:pPr>
        <w:pStyle w:val="Code"/>
        <w:keepNext/>
      </w:pPr>
      <w:r>
        <w:rPr>
          <w:b w:val="0"/>
        </w:rPr>
        <w:t>else</w:t>
      </w:r>
    </w:p>
    <w:p>
      <w:pPr>
        <w:pStyle w:val="Code"/>
        <w:keepNext/>
      </w:pPr>
      <w:r>
        <w:rPr>
          <w:b w:val="0"/>
        </w:rPr>
        <w:t xml:space="preserve">  printf 'machine-id absent or empty\n'</w:t>
      </w:r>
    </w:p>
    <w:p>
      <w:pPr>
        <w:pStyle w:val="Code"/>
        <w:keepNext w:val="0"/>
      </w:pPr>
      <w:r>
        <w:rPr>
          <w:b w:val="0"/>
        </w:rPr>
        <w:t>fi</w:t>
      </w:r>
    </w:p>
    <w:p>
      <w:pPr>
        <w:spacing w:after="0" w:line="80" w:lineRule="exact"/>
      </w:pPr>
      <w:r>
        <w:rPr>
          <w:sz w:val="4"/>
        </w:rPr>
      </w:r>
    </w:p>
    <w:p>
      <w:pPr>
        <w:spacing w:line="300" w:lineRule="exact"/>
      </w:pPr>
      <w:r>
        <w:rPr>
          <w:b w:val="0"/>
        </w:rPr>
        <w:t>hostname -fの失敗も記録対象です。上記コマンドは元のmachine-idを表示しません。派生識別子を評価する場合は、実装担当者が統一されたアプリケーション専用キーによる派生方式を設計します。異なる一時的なソルト値を使い、両データソースで別の識別値を生成してはいけません。[R8]</w:t>
      </w:r>
    </w:p>
    <w:p>
      <w:pPr>
        <w:pStyle w:val="Heading1"/>
        <w:pageBreakBefore/>
      </w:pPr>
      <w:r>
        <w:t>5 収集マッピングとルール設定の検証順序</w:t>
      </w:r>
    </w:p>
    <w:p>
      <w:pPr>
        <w:pStyle w:val="Heading2"/>
      </w:pPr>
      <w:r>
        <w:t>追加収集フィールドがホストpayloadに入ることを確認</w:t>
      </w:r>
    </w:p>
    <w:p>
      <w:pPr>
        <w:spacing w:line="300" w:lineRule="exact"/>
      </w:pPr>
      <w:r>
        <w:rPr>
          <w:b w:val="0"/>
        </w:rPr>
        <w:t>水平Discovery：公式のLinux discovery文書では、現在のデフォルトがLinux Server Patternとされています。まず、インスタンスで実際に実行されるPatternとCI Typeを確認します。開発環境で対象を限定したWSL処理を設計し、フィールドの収集／関連付け及び対象クラスへのマッピングを実施します。コマンド出力にフィールドが現れるだけでは完了とはいえません。[R9]</w:t>
      </w:r>
    </w:p>
    <w:p>
      <w:pPr>
        <w:spacing w:line="300" w:lineRule="exact"/>
      </w:pPr>
      <w:r>
        <w:rPr>
          <w:b w:val="0"/>
        </w:rPr>
        <w:t>ACC：公式の収集表には、Host Dataの名称、FQDN、シリアル番号及びEnhancedのobject_id等が記載されていますが、本方式のWSL登録情報の組合せは記載されていません。Checkを追加して値を取得できても、ホストCIのIREへその値が渡るとは限りません。現行バージョンのホスト処理経路を確認し、サポートされる拡張／マッピング方法があることを確認する必要があります。未確認のまま標準ACC設定だけで実現できるとは約束できません。[R3]</w:t>
      </w:r>
    </w:p>
    <w:p>
      <w:pPr>
        <w:spacing w:line="300" w:lineRule="exact"/>
      </w:pPr>
      <w:r>
        <w:rPr>
          <w:b w:val="0"/>
        </w:rPr>
        <w:t>両方の標準処理経路で安全に補完できない場合は、独立した管理下の連携処理を設け、IREを呼び出す方式を別途評価します。この方式には、新たな収集・関連付け処理とACCのホスト関連付け管理が必要です。既存エラーにルールを1つ追加すれば自動解消する方式ではありません。問い合わせ権限を持つ技術責任者を通じて、適用できる拡張方法とWSLのサポート範囲をServiceNow Supportへ確認することを推奨します。</w:t>
      </w:r>
    </w:p>
    <w:p>
      <w:pPr>
        <w:pStyle w:val="Heading2"/>
      </w:pPr>
      <w:r>
        <w:t>分離した開発環境での設定</w:t>
      </w:r>
    </w:p>
    <w:p>
      <w:pPr>
        <w:spacing w:line="300" w:lineRule="exact"/>
      </w:pPr>
      <w:r>
        <w:rPr>
          <w:b w:val="0"/>
        </w:rPr>
        <w:t>以下は検証用の手順です。クラス管理及びIRE設定の権限を持つ管理者が実施します。本調査では、これらの変更は実施していません。</w:t>
      </w:r>
    </w:p>
    <w:p>
      <w:pPr>
        <w:spacing w:line="300" w:lineRule="exact"/>
      </w:pPr>
      <w:r>
        <w:rPr>
          <w:b w:val="0"/>
        </w:rPr>
        <w:t>1. データモデル責任者の確認を得て、Linux Server配下にWSL専用の子クラスを作成する案を評価します。例：u_cmdb_ci_wsl_server。テーブル名及びフィールド名は例示です。子クラスに第3節のフィールドを設け、両収集経路のclassNameをこのクラスへマッピングできることが必要です。クラスを作成するだけでは、Discoveryの対象クラスは自動変更されません。</w:t>
      </w:r>
    </w:p>
    <w:p>
      <w:pPr>
        <w:spacing w:line="300" w:lineRule="exact"/>
      </w:pPr>
      <w:r>
        <w:rPr>
          <w:b w:val="0"/>
        </w:rPr>
        <w:t>2. All &gt; Configuration &gt; CI Class Manager &gt; Hierarchyで対象クラスを選択し、Class Info &gt; Identification Ruleを開きます。継承ルールを置き換える場合は、先に親ルール、Identifier Entries及びRelated Entriesをエクスポートし、維持すべき内容を個別に確認します。[R1][R2]</w:t>
      </w:r>
    </w:p>
    <w:p>
      <w:pPr>
        <w:spacing w:line="300" w:lineRule="exact"/>
      </w:pPr>
      <w:r>
        <w:rPr>
          <w:b w:val="0"/>
        </w:rPr>
        <w:t>3. 専用クラスのIdentifier EntriesでUse attributes from main tableを追加し、同じエントリにu_wsl_host_id、u_wsl_owner_sid、u_wsl_distro_guidを指定します。Allow null attributeのチェックを外し、3つすべての値を必須とします。3つのエントリを別々に作成しても、複合キーにはなりません。[R1]</w:t>
      </w:r>
    </w:p>
    <w:p>
      <w:pPr>
        <w:spacing w:line="300" w:lineRule="exact"/>
      </w:pPr>
      <w:r>
        <w:rPr>
          <w:b w:val="0"/>
        </w:rPr>
        <w:t>4. Priorityを明確に設定します。小さい数値から実行されるため、同じ優先度は避けます。name等の一意性の弱い属性だけで、別のディストリビューションを誤照合するエントリが残っていないかを確認します。まずシミュレーションし、その後、少数のサンプルで実際に登録します。</w:t>
      </w:r>
    </w:p>
    <w:p>
      <w:pPr>
        <w:pStyle w:val="Heading2"/>
      </w:pPr>
      <w:r>
        <w:t>考慮が必要な影響範囲</w:t>
      </w:r>
    </w:p>
    <w:p>
      <w:pPr>
        <w:spacing w:line="300" w:lineRule="exact"/>
      </w:pPr>
      <w:r>
        <w:rPr>
          <w:b w:val="0"/>
        </w:rPr>
        <w:t>共通のcmdb_ci_serverのServer ruleを直接変更せず、本課題のためにglide.identification_engine.enable_identifier_optional_conditionをグローバルで有効化しません。公式文書では、子クラスに独自ルールを定義すると、親の識別エントリ及びRelated Entriesを継承しなくなると説明されています。子クラスによりルールの範囲は限定できますが、継承に伴うレポート、ACL、クラス変更及び関連付けの動作は、別途評価が必要です。[R1][R2]</w:t>
      </w:r>
    </w:p>
    <w:p>
      <w:pPr>
        <w:pStyle w:val="Heading1"/>
        <w:pageBreakBefore/>
      </w:pPr>
      <w:r>
        <w:t>6 IRE payloadと書込みなしのシミュレーション例</w:t>
      </w:r>
    </w:p>
    <w:p>
      <w:pPr>
        <w:spacing w:line="300" w:lineRule="exact"/>
      </w:pPr>
      <w:r>
        <w:rPr>
          <w:b w:val="0"/>
        </w:rPr>
        <w:t>以下は「3属性を共同で使用する識別」の例です。承認済みのサンプルクラス、フィールド及び識別ルールを先に作成し、例示値を置き換えます。属性識別そのものを先に検証するため、入力にsys_object_source_infoは含めません。その後、ソース情報のキャッシュが属性の問題を隠さないよう、両経路の実際のソース情報を用いた検証も別途実施します。[R4]</w:t>
      </w:r>
    </w:p>
    <w:p>
      <w:pPr>
        <w:pStyle w:val="Code"/>
        <w:keepNext/>
      </w:pPr>
      <w:r>
        <w:rPr>
          <w:b w:val="0"/>
        </w:rPr>
        <w:t>{</w:t>
      </w:r>
    </w:p>
    <w:p>
      <w:pPr>
        <w:pStyle w:val="Code"/>
        <w:keepNext/>
      </w:pPr>
      <w:r>
        <w:rPr>
          <w:b w:val="0"/>
        </w:rPr>
        <w:t xml:space="preserve">  "items": [</w:t>
      </w:r>
    </w:p>
    <w:p>
      <w:pPr>
        <w:pStyle w:val="Code"/>
        <w:keepNext/>
      </w:pPr>
      <w:r>
        <w:rPr>
          <w:b w:val="0"/>
        </w:rPr>
        <w:t xml:space="preserve">    {</w:t>
      </w:r>
    </w:p>
    <w:p>
      <w:pPr>
        <w:pStyle w:val="Code"/>
        <w:keepNext/>
      </w:pPr>
      <w:r>
        <w:rPr>
          <w:b w:val="0"/>
        </w:rPr>
        <w:t xml:space="preserve">      "className": "u_cmdb_ci_wsl_server",</w:t>
      </w:r>
    </w:p>
    <w:p>
      <w:pPr>
        <w:pStyle w:val="Code"/>
        <w:keepNext/>
      </w:pPr>
      <w:r>
        <w:rPr>
          <w:b w:val="0"/>
        </w:rPr>
        <w:t xml:space="preserve">      "internal_id": "wsl_sample_01",</w:t>
      </w:r>
    </w:p>
    <w:p>
      <w:pPr>
        <w:pStyle w:val="Code"/>
        <w:keepNext/>
      </w:pPr>
      <w:r>
        <w:rPr>
          <w:b w:val="0"/>
        </w:rPr>
        <w:t xml:space="preserve">      "values": {</w:t>
      </w:r>
    </w:p>
    <w:p>
      <w:pPr>
        <w:pStyle w:val="Code"/>
        <w:keepNext/>
      </w:pPr>
      <w:r>
        <w:rPr>
          <w:b w:val="0"/>
        </w:rPr>
        <w:t xml:space="preserve">        "name": "wsl-poc-ubuntu-01",</w:t>
      </w:r>
    </w:p>
    <w:p>
      <w:pPr>
        <w:pStyle w:val="Code"/>
        <w:keepNext/>
      </w:pPr>
      <w:r>
        <w:rPr>
          <w:b w:val="0"/>
        </w:rPr>
        <w:t xml:space="preserve">        "u_wsl_host_id": "HOST-STABLE-001",</w:t>
      </w:r>
    </w:p>
    <w:p>
      <w:pPr>
        <w:pStyle w:val="Code"/>
        <w:keepNext/>
      </w:pPr>
      <w:r>
        <w:rPr>
          <w:b w:val="0"/>
        </w:rPr>
        <w:t xml:space="preserve">        "u_wsl_owner_sid": "S-1-5-21-100-200-300-1001",</w:t>
      </w:r>
    </w:p>
    <w:p>
      <w:pPr>
        <w:pStyle w:val="Code"/>
        <w:keepNext/>
      </w:pPr>
      <w:r>
        <w:rPr>
          <w:b w:val="0"/>
        </w:rPr>
        <w:t xml:space="preserve">        "u_wsl_distro_guid": "11111111-2222-3333-4444-555555555555"</w:t>
      </w:r>
    </w:p>
    <w:p>
      <w:pPr>
        <w:pStyle w:val="Code"/>
        <w:keepNext/>
      </w:pPr>
      <w:r>
        <w:rPr>
          <w:b w:val="0"/>
        </w:rPr>
        <w:t xml:space="preserve">      }</w:t>
      </w:r>
    </w:p>
    <w:p>
      <w:pPr>
        <w:pStyle w:val="Code"/>
        <w:keepNext/>
      </w:pPr>
      <w:r>
        <w:rPr>
          <w:b w:val="0"/>
        </w:rPr>
        <w:t xml:space="preserve">    }</w:t>
      </w:r>
    </w:p>
    <w:p>
      <w:pPr>
        <w:pStyle w:val="Code"/>
        <w:keepNext/>
      </w:pPr>
      <w:r>
        <w:rPr>
          <w:b w:val="0"/>
        </w:rPr>
        <w:t xml:space="preserve">  ]</w:t>
      </w:r>
    </w:p>
    <w:p>
      <w:pPr>
        <w:pStyle w:val="Code"/>
        <w:keepNext w:val="0"/>
      </w:pPr>
      <w:r>
        <w:rPr>
          <w:b w:val="0"/>
        </w:rPr>
        <w:t>}</w:t>
      </w:r>
    </w:p>
    <w:p>
      <w:pPr>
        <w:spacing w:after="0" w:line="80" w:lineRule="exact"/>
      </w:pPr>
      <w:r>
        <w:rPr>
          <w:sz w:val="4"/>
        </w:rPr>
      </w:r>
    </w:p>
    <w:p>
      <w:pPr>
        <w:pStyle w:val="Heading2"/>
      </w:pPr>
      <w:r>
        <w:t>管理者による識別シミュレーション</w:t>
      </w:r>
    </w:p>
    <w:p>
      <w:pPr>
        <w:spacing w:line="300" w:lineRule="exact"/>
      </w:pPr>
      <w:r>
        <w:rPr>
          <w:b w:val="0"/>
        </w:rPr>
        <w:t>開発インスタンスで承認されたスクリプト実行画面からGlobal APIを使用します。identifyCIは予定されるinsert／updateを計算しますが、CIのデータベース操作はコミットしません。書込みを行うcreateOrUpdateCIに置き換えてはいけません。[R4]</w:t>
      </w:r>
    </w:p>
    <w:p>
      <w:pPr>
        <w:pStyle w:val="Code"/>
        <w:keepNext/>
      </w:pPr>
      <w:r>
        <w:rPr>
          <w:b w:val="0"/>
        </w:rPr>
        <w:t>var payload = {</w:t>
      </w:r>
    </w:p>
    <w:p>
      <w:pPr>
        <w:pStyle w:val="Code"/>
        <w:keepNext/>
      </w:pPr>
      <w:r>
        <w:rPr>
          <w:b w:val="0"/>
        </w:rPr>
        <w:t xml:space="preserve">  items: [{</w:t>
      </w:r>
    </w:p>
    <w:p>
      <w:pPr>
        <w:pStyle w:val="Code"/>
        <w:keepNext/>
      </w:pPr>
      <w:r>
        <w:rPr>
          <w:b w:val="0"/>
        </w:rPr>
        <w:t xml:space="preserve">    className: 'u_cmdb_ci_wsl_server',</w:t>
      </w:r>
    </w:p>
    <w:p>
      <w:pPr>
        <w:pStyle w:val="Code"/>
        <w:keepNext/>
      </w:pPr>
      <w:r>
        <w:rPr>
          <w:b w:val="0"/>
        </w:rPr>
        <w:t xml:space="preserve">    internal_id: 'wsl_sample_01',</w:t>
      </w:r>
    </w:p>
    <w:p>
      <w:pPr>
        <w:pStyle w:val="Code"/>
        <w:keepNext/>
      </w:pPr>
      <w:r>
        <w:rPr>
          <w:b w:val="0"/>
        </w:rPr>
        <w:t xml:space="preserve">    values: {</w:t>
      </w:r>
    </w:p>
    <w:p>
      <w:pPr>
        <w:pStyle w:val="Code"/>
        <w:keepNext/>
      </w:pPr>
      <w:r>
        <w:rPr>
          <w:b w:val="0"/>
        </w:rPr>
        <w:t xml:space="preserve">      name: 'wsl-poc-ubuntu-01',</w:t>
      </w:r>
    </w:p>
    <w:p>
      <w:pPr>
        <w:pStyle w:val="Code"/>
        <w:keepNext/>
      </w:pPr>
      <w:r>
        <w:rPr>
          <w:b w:val="0"/>
        </w:rPr>
        <w:t xml:space="preserve">      u_wsl_host_id: 'HOST-STABLE-001',</w:t>
      </w:r>
    </w:p>
    <w:p>
      <w:pPr>
        <w:pStyle w:val="Code"/>
        <w:keepNext/>
      </w:pPr>
      <w:r>
        <w:rPr>
          <w:b w:val="0"/>
        </w:rPr>
        <w:t xml:space="preserve">      u_wsl_owner_sid: 'S-1-5-21-100-200-300-1001',</w:t>
      </w:r>
    </w:p>
    <w:p>
      <w:pPr>
        <w:pStyle w:val="Code"/>
        <w:keepNext/>
      </w:pPr>
      <w:r>
        <w:rPr>
          <w:b w:val="0"/>
        </w:rPr>
        <w:t xml:space="preserve">      u_wsl_distro_guid: '11111111-2222-3333-4444-555555555555'</w:t>
      </w:r>
    </w:p>
    <w:p>
      <w:pPr>
        <w:pStyle w:val="Code"/>
        <w:keepNext/>
      </w:pPr>
      <w:r>
        <w:rPr>
          <w:b w:val="0"/>
        </w:rPr>
        <w:t xml:space="preserve">    }</w:t>
      </w:r>
    </w:p>
    <w:p>
      <w:pPr>
        <w:pStyle w:val="Code"/>
        <w:keepNext/>
      </w:pPr>
      <w:r>
        <w:rPr>
          <w:b w:val="0"/>
        </w:rPr>
        <w:t xml:space="preserve">  }]</w:t>
      </w:r>
    </w:p>
    <w:p>
      <w:pPr>
        <w:pStyle w:val="Code"/>
        <w:keepNext/>
      </w:pPr>
      <w:r>
        <w:rPr>
          <w:b w:val="0"/>
        </w:rPr>
        <w:t>};</w:t>
      </w:r>
    </w:p>
    <w:p>
      <w:pPr>
        <w:pStyle w:val="Code"/>
        <w:keepNext/>
      </w:pPr>
      <w:r>
        <w:rPr>
          <w:b w:val="0"/>
        </w:rPr>
        <w:t>var result = SNC.IdentificationEngineScriptableApi.identifyCI(</w:t>
      </w:r>
    </w:p>
    <w:p>
      <w:pPr>
        <w:pStyle w:val="Code"/>
        <w:keepNext/>
      </w:pPr>
      <w:r>
        <w:rPr>
          <w:b w:val="0"/>
        </w:rPr>
        <w:t xml:space="preserve">  JSON.stringify(payload)</w:t>
      </w:r>
    </w:p>
    <w:p>
      <w:pPr>
        <w:pStyle w:val="Code"/>
        <w:keepNext/>
      </w:pPr>
      <w:r>
        <w:rPr>
          <w:b w:val="0"/>
        </w:rPr>
        <w:t>);</w:t>
      </w:r>
    </w:p>
    <w:p>
      <w:pPr>
        <w:pStyle w:val="Code"/>
        <w:keepNext w:val="0"/>
      </w:pPr>
      <w:r>
        <w:rPr>
          <w:b w:val="0"/>
        </w:rPr>
        <w:t>gs.info(result);</w:t>
      </w:r>
    </w:p>
    <w:p>
      <w:pPr>
        <w:spacing w:after="0" w:line="80" w:lineRule="exact"/>
      </w:pPr>
      <w:r>
        <w:rPr>
          <w:sz w:val="4"/>
        </w:rPr>
      </w:r>
    </w:p>
    <w:p>
      <w:pPr>
        <w:spacing w:line="300" w:lineRule="exact"/>
      </w:pPr>
      <w:r>
        <w:rPr>
          <w:b w:val="0"/>
        </w:rPr>
        <w:t>対応するCIが存在しない場合、予定される挿入結果は、識別シミュレーションが成功したことだけを示します。最初の実行では書き込まないため、連続で2回シミュレーションしても自動的にUPDATEにはなりません。別途承認を得て開発環境でサンプルCIを1回作成し、同じ組合せを再シミュレーションして、返されたsys_idと照合エントリを確認します。実際の登録時には、Reconciliation Rules、必須フィールド及びその他のインスタンス制約も影響する可能性があります。</w:t>
      </w:r>
    </w:p>
    <w:p>
      <w:pPr>
        <w:pStyle w:val="Heading1"/>
        <w:pageBreakBefore/>
      </w:pPr>
      <w:r>
        <w:t>7 必須の受入テスト</w:t>
      </w:r>
    </w:p>
    <w:p>
      <w:pPr>
        <w:spacing w:line="300" w:lineRule="exact"/>
      </w:pPr>
      <w:r>
        <w:rPr>
          <w:b w:val="0"/>
        </w:rPr>
        <w:t>各テストの入力フィールド、実際に照合したエントリ、IRE結果、ホストのsys_id及び実行日時を保存します。「Agentがオンライン」「エラーがない」だけで成功と判定しません。</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792"/>
        <w:gridCol w:w="2952"/>
        <w:gridCol w:w="6336"/>
      </w:tblGrid>
      <w:tr>
        <w:trPr>
          <w:cantSplit/>
          <w:tblHeader/>
        </w:trPr>
        <w:tc>
          <w:tcPr>
            <w:tcW w:type="dxa" w:w="792"/>
            <w:vAlign w:val="center"/>
            <w:tcMar>
              <w:top w:w="75" w:type="dxa"/>
              <w:bottom w:w="75" w:type="dxa"/>
              <w:left w:w="90" w:type="dxa"/>
              <w:right w:w="90" w:type="dxa"/>
            </w:tcMar>
            <w:shd w:fill="E7E6E6"/>
          </w:tcPr>
          <w:p>
            <w:pPr>
              <w:spacing w:after="0" w:line="270" w:lineRule="exact"/>
              <w:jc w:val="center"/>
            </w:pPr>
            <w:r>
              <w:rPr>
                <w:b/>
                <w:sz w:val="20"/>
              </w:rPr>
              <w:t>番号</w:t>
            </w:r>
          </w:p>
        </w:tc>
        <w:tc>
          <w:tcPr>
            <w:tcW w:type="dxa" w:w="2952"/>
            <w:vAlign w:val="center"/>
            <w:tcMar>
              <w:top w:w="75" w:type="dxa"/>
              <w:bottom w:w="75" w:type="dxa"/>
              <w:left w:w="90" w:type="dxa"/>
              <w:right w:w="90" w:type="dxa"/>
            </w:tcMar>
            <w:shd w:fill="E7E6E6"/>
          </w:tcPr>
          <w:p>
            <w:pPr>
              <w:spacing w:after="0" w:line="270" w:lineRule="exact"/>
            </w:pPr>
            <w:r>
              <w:rPr>
                <w:b/>
                <w:sz w:val="20"/>
              </w:rPr>
              <w:t>テスト</w:t>
            </w:r>
          </w:p>
        </w:tc>
        <w:tc>
          <w:tcPr>
            <w:tcW w:type="dxa" w:w="6336"/>
            <w:vAlign w:val="center"/>
            <w:tcMar>
              <w:top w:w="75" w:type="dxa"/>
              <w:bottom w:w="75" w:type="dxa"/>
              <w:left w:w="90" w:type="dxa"/>
              <w:right w:w="90" w:type="dxa"/>
            </w:tcMar>
            <w:shd w:fill="E7E6E6"/>
          </w:tcPr>
          <w:p>
            <w:pPr>
              <w:spacing w:after="0" w:line="270" w:lineRule="exact"/>
            </w:pPr>
            <w:r>
              <w:rPr>
                <w:b/>
                <w:sz w:val="20"/>
              </w:rPr>
              <w:t>合格条件</w:t>
            </w:r>
          </w:p>
        </w:tc>
      </w:tr>
      <w:tr>
        <w:trPr>
          <w:cantSplit/>
        </w:trPr>
        <w:tc>
          <w:tcPr>
            <w:tcW w:type="dxa" w:w="792"/>
            <w:vAlign w:val="center"/>
            <w:tcMar>
              <w:top w:w="75" w:type="dxa"/>
              <w:bottom w:w="75" w:type="dxa"/>
              <w:left w:w="90" w:type="dxa"/>
              <w:right w:w="90" w:type="dxa"/>
            </w:tcMar>
          </w:tcPr>
          <w:p>
            <w:pPr>
              <w:spacing w:after="0" w:line="270" w:lineRule="exact"/>
              <w:jc w:val="center"/>
            </w:pPr>
            <w:r>
              <w:rPr>
                <w:b w:val="0"/>
                <w:sz w:val="20"/>
              </w:rPr>
              <w:t>01</w:t>
            </w:r>
          </w:p>
        </w:tc>
        <w:tc>
          <w:tcPr>
            <w:tcW w:type="dxa" w:w="2952"/>
            <w:vAlign w:val="center"/>
            <w:tcMar>
              <w:top w:w="75" w:type="dxa"/>
              <w:bottom w:w="75" w:type="dxa"/>
              <w:left w:w="90" w:type="dxa"/>
              <w:right w:w="90" w:type="dxa"/>
            </w:tcMar>
          </w:tcPr>
          <w:p>
            <w:pPr>
              <w:spacing w:after="0" w:line="270" w:lineRule="exact"/>
            </w:pPr>
            <w:r>
              <w:rPr>
                <w:b w:val="0"/>
                <w:sz w:val="20"/>
              </w:rPr>
              <w:t>初回Discovery</w:t>
            </w:r>
          </w:p>
        </w:tc>
        <w:tc>
          <w:tcPr>
            <w:tcW w:type="dxa" w:w="6336"/>
            <w:vAlign w:val="center"/>
            <w:tcMar>
              <w:top w:w="75" w:type="dxa"/>
              <w:bottom w:w="75" w:type="dxa"/>
              <w:left w:w="90" w:type="dxa"/>
              <w:right w:w="90" w:type="dxa"/>
            </w:tcMar>
          </w:tcPr>
          <w:p>
            <w:pPr>
              <w:spacing w:after="0" w:line="270" w:lineRule="exact"/>
            </w:pPr>
            <w:r>
              <w:rPr>
                <w:b w:val="0"/>
                <w:sz w:val="20"/>
              </w:rPr>
              <w:t>有効で完全なキーによりホストCIが1件作成され、対象classNameとホスト・Agentの関連付けが正しいこと。</w:t>
            </w:r>
          </w:p>
        </w:tc>
      </w:tr>
      <w:tr>
        <w:trPr>
          <w:cantSplit/>
        </w:trPr>
        <w:tc>
          <w:tcPr>
            <w:tcW w:type="dxa" w:w="792"/>
            <w:vAlign w:val="center"/>
            <w:tcMar>
              <w:top w:w="75" w:type="dxa"/>
              <w:bottom w:w="75" w:type="dxa"/>
              <w:left w:w="90" w:type="dxa"/>
              <w:right w:w="90" w:type="dxa"/>
            </w:tcMar>
          </w:tcPr>
          <w:p>
            <w:pPr>
              <w:spacing w:after="0" w:line="270" w:lineRule="exact"/>
              <w:jc w:val="center"/>
            </w:pPr>
            <w:r>
              <w:rPr>
                <w:b w:val="0"/>
                <w:sz w:val="20"/>
              </w:rPr>
              <w:t>02</w:t>
            </w:r>
          </w:p>
        </w:tc>
        <w:tc>
          <w:tcPr>
            <w:tcW w:type="dxa" w:w="2952"/>
            <w:vAlign w:val="center"/>
            <w:tcMar>
              <w:top w:w="75" w:type="dxa"/>
              <w:bottom w:w="75" w:type="dxa"/>
              <w:left w:w="90" w:type="dxa"/>
              <w:right w:w="90" w:type="dxa"/>
            </w:tcMar>
          </w:tcPr>
          <w:p>
            <w:pPr>
              <w:spacing w:after="0" w:line="270" w:lineRule="exact"/>
            </w:pPr>
            <w:r>
              <w:rPr>
                <w:b w:val="0"/>
                <w:sz w:val="20"/>
              </w:rPr>
              <w:t>同一経路での繰り返しDiscovery</w:t>
            </w:r>
          </w:p>
        </w:tc>
        <w:tc>
          <w:tcPr>
            <w:tcW w:type="dxa" w:w="6336"/>
            <w:vAlign w:val="center"/>
            <w:tcMar>
              <w:top w:w="75" w:type="dxa"/>
              <w:bottom w:w="75" w:type="dxa"/>
              <w:left w:w="90" w:type="dxa"/>
              <w:right w:w="90" w:type="dxa"/>
            </w:tcMar>
          </w:tcPr>
          <w:p>
            <w:pPr>
              <w:spacing w:after="0" w:line="270" w:lineRule="exact"/>
            </w:pPr>
            <w:r>
              <w:rPr>
                <w:b w:val="0"/>
                <w:sz w:val="20"/>
              </w:rPr>
              <w:t>同じ組合せで繰り返し実行してもsys_idが同一で、CIが重複しないこと。</w:t>
            </w:r>
          </w:p>
        </w:tc>
      </w:tr>
      <w:tr>
        <w:trPr>
          <w:cantSplit/>
        </w:trPr>
        <w:tc>
          <w:tcPr>
            <w:tcW w:type="dxa" w:w="792"/>
            <w:vAlign w:val="center"/>
            <w:tcMar>
              <w:top w:w="75" w:type="dxa"/>
              <w:bottom w:w="75" w:type="dxa"/>
              <w:left w:w="90" w:type="dxa"/>
              <w:right w:w="90" w:type="dxa"/>
            </w:tcMar>
          </w:tcPr>
          <w:p>
            <w:pPr>
              <w:spacing w:after="0" w:line="270" w:lineRule="exact"/>
              <w:jc w:val="center"/>
            </w:pPr>
            <w:r>
              <w:rPr>
                <w:b w:val="0"/>
                <w:sz w:val="20"/>
              </w:rPr>
              <w:t>03</w:t>
            </w:r>
          </w:p>
        </w:tc>
        <w:tc>
          <w:tcPr>
            <w:tcW w:type="dxa" w:w="2952"/>
            <w:vAlign w:val="center"/>
            <w:tcMar>
              <w:top w:w="75" w:type="dxa"/>
              <w:bottom w:w="75" w:type="dxa"/>
              <w:left w:w="90" w:type="dxa"/>
              <w:right w:w="90" w:type="dxa"/>
            </w:tcMar>
          </w:tcPr>
          <w:p>
            <w:pPr>
              <w:spacing w:after="0" w:line="270" w:lineRule="exact"/>
            </w:pPr>
            <w:r>
              <w:rPr>
                <w:b w:val="0"/>
                <w:sz w:val="20"/>
              </w:rPr>
              <w:t>両ソースの交差Discovery</w:t>
            </w:r>
          </w:p>
        </w:tc>
        <w:tc>
          <w:tcPr>
            <w:tcW w:type="dxa" w:w="6336"/>
            <w:vAlign w:val="center"/>
            <w:tcMar>
              <w:top w:w="75" w:type="dxa"/>
              <w:bottom w:w="75" w:type="dxa"/>
              <w:left w:w="90" w:type="dxa"/>
              <w:right w:w="90" w:type="dxa"/>
            </w:tcMar>
          </w:tcPr>
          <w:p>
            <w:pPr>
              <w:spacing w:after="0" w:line="270" w:lineRule="exact"/>
            </w:pPr>
            <w:r>
              <w:rPr>
                <w:b w:val="0"/>
                <w:sz w:val="20"/>
              </w:rPr>
              <w:t>水平Discovery→ACC及びACC→水平Discoveryの両順序で同じホストCIに照合し、重複や他のディストリビューションの上書きがないこと。</w:t>
            </w:r>
          </w:p>
        </w:tc>
      </w:tr>
      <w:tr>
        <w:trPr>
          <w:cantSplit/>
        </w:trPr>
        <w:tc>
          <w:tcPr>
            <w:tcW w:type="dxa" w:w="792"/>
            <w:vAlign w:val="center"/>
            <w:tcMar>
              <w:top w:w="75" w:type="dxa"/>
              <w:bottom w:w="75" w:type="dxa"/>
              <w:left w:w="90" w:type="dxa"/>
              <w:right w:w="90" w:type="dxa"/>
            </w:tcMar>
          </w:tcPr>
          <w:p>
            <w:pPr>
              <w:spacing w:after="0" w:line="270" w:lineRule="exact"/>
              <w:jc w:val="center"/>
            </w:pPr>
            <w:r>
              <w:rPr>
                <w:b w:val="0"/>
                <w:sz w:val="20"/>
              </w:rPr>
              <w:t>04</w:t>
            </w:r>
          </w:p>
        </w:tc>
        <w:tc>
          <w:tcPr>
            <w:tcW w:type="dxa" w:w="2952"/>
            <w:vAlign w:val="center"/>
            <w:tcMar>
              <w:top w:w="75" w:type="dxa"/>
              <w:bottom w:w="75" w:type="dxa"/>
              <w:left w:w="90" w:type="dxa"/>
              <w:right w:w="90" w:type="dxa"/>
            </w:tcMar>
          </w:tcPr>
          <w:p>
            <w:pPr>
              <w:spacing w:after="0" w:line="270" w:lineRule="exact"/>
            </w:pPr>
            <w:r>
              <w:rPr>
                <w:b w:val="0"/>
                <w:sz w:val="20"/>
              </w:rPr>
              <w:t>再起動及びIP変更</w:t>
            </w:r>
          </w:p>
        </w:tc>
        <w:tc>
          <w:tcPr>
            <w:tcW w:type="dxa" w:w="6336"/>
            <w:vAlign w:val="center"/>
            <w:tcMar>
              <w:top w:w="75" w:type="dxa"/>
              <w:bottom w:w="75" w:type="dxa"/>
              <w:left w:w="90" w:type="dxa"/>
              <w:right w:w="90" w:type="dxa"/>
            </w:tcMar>
          </w:tcPr>
          <w:p>
            <w:pPr>
              <w:spacing w:after="0" w:line="270" w:lineRule="exact"/>
            </w:pPr>
            <w:r>
              <w:rPr>
                <w:b w:val="0"/>
                <w:sz w:val="20"/>
              </w:rPr>
              <w:t>同じ登録ディストリビューションが元のsys_idに照合され、IPに依存しないこと。</w:t>
            </w:r>
          </w:p>
        </w:tc>
      </w:tr>
      <w:tr>
        <w:trPr>
          <w:cantSplit/>
        </w:trPr>
        <w:tc>
          <w:tcPr>
            <w:tcW w:type="dxa" w:w="792"/>
            <w:vAlign w:val="center"/>
            <w:tcMar>
              <w:top w:w="75" w:type="dxa"/>
              <w:bottom w:w="75" w:type="dxa"/>
              <w:left w:w="90" w:type="dxa"/>
              <w:right w:w="90" w:type="dxa"/>
            </w:tcMar>
          </w:tcPr>
          <w:p>
            <w:pPr>
              <w:spacing w:after="0" w:line="270" w:lineRule="exact"/>
              <w:jc w:val="center"/>
            </w:pPr>
            <w:r>
              <w:rPr>
                <w:b w:val="0"/>
                <w:sz w:val="20"/>
              </w:rPr>
              <w:t>05</w:t>
            </w:r>
          </w:p>
        </w:tc>
        <w:tc>
          <w:tcPr>
            <w:tcW w:type="dxa" w:w="2952"/>
            <w:vAlign w:val="center"/>
            <w:tcMar>
              <w:top w:w="75" w:type="dxa"/>
              <w:bottom w:w="75" w:type="dxa"/>
              <w:left w:w="90" w:type="dxa"/>
              <w:right w:w="90" w:type="dxa"/>
            </w:tcMar>
          </w:tcPr>
          <w:p>
            <w:pPr>
              <w:spacing w:after="0" w:line="270" w:lineRule="exact"/>
            </w:pPr>
            <w:r>
              <w:rPr>
                <w:b w:val="0"/>
                <w:sz w:val="20"/>
              </w:rPr>
              <w:t>同一ホストの複数ディストリビューション</w:t>
            </w:r>
          </w:p>
        </w:tc>
        <w:tc>
          <w:tcPr>
            <w:tcW w:type="dxa" w:w="6336"/>
            <w:vAlign w:val="center"/>
            <w:tcMar>
              <w:top w:w="75" w:type="dxa"/>
              <w:bottom w:w="75" w:type="dxa"/>
              <w:left w:w="90" w:type="dxa"/>
              <w:right w:w="90" w:type="dxa"/>
            </w:tcMar>
          </w:tcPr>
          <w:p>
            <w:pPr>
              <w:spacing w:after="0" w:line="270" w:lineRule="exact"/>
            </w:pPr>
            <w:r>
              <w:rPr>
                <w:b w:val="0"/>
                <w:sz w:val="20"/>
              </w:rPr>
              <w:t>登録GUIDごとに別のCIが作成され、共通のhostname／IPにより統合されないこと。</w:t>
            </w:r>
          </w:p>
        </w:tc>
      </w:tr>
      <w:tr>
        <w:trPr>
          <w:cantSplit/>
        </w:trPr>
        <w:tc>
          <w:tcPr>
            <w:tcW w:type="dxa" w:w="792"/>
            <w:vAlign w:val="center"/>
            <w:tcMar>
              <w:top w:w="75" w:type="dxa"/>
              <w:bottom w:w="75" w:type="dxa"/>
              <w:left w:w="90" w:type="dxa"/>
              <w:right w:w="90" w:type="dxa"/>
            </w:tcMar>
          </w:tcPr>
          <w:p>
            <w:pPr>
              <w:spacing w:after="0" w:line="270" w:lineRule="exact"/>
              <w:jc w:val="center"/>
            </w:pPr>
            <w:r>
              <w:rPr>
                <w:b w:val="0"/>
                <w:sz w:val="20"/>
              </w:rPr>
              <w:t>06</w:t>
            </w:r>
          </w:p>
        </w:tc>
        <w:tc>
          <w:tcPr>
            <w:tcW w:type="dxa" w:w="2952"/>
            <w:vAlign w:val="center"/>
            <w:tcMar>
              <w:top w:w="75" w:type="dxa"/>
              <w:bottom w:w="75" w:type="dxa"/>
              <w:left w:w="90" w:type="dxa"/>
              <w:right w:w="90" w:type="dxa"/>
            </w:tcMar>
          </w:tcPr>
          <w:p>
            <w:pPr>
              <w:spacing w:after="0" w:line="270" w:lineRule="exact"/>
            </w:pPr>
            <w:r>
              <w:rPr>
                <w:b w:val="0"/>
                <w:sz w:val="20"/>
              </w:rPr>
              <w:t>別ユーザー又は別ホストでの同名</w:t>
            </w:r>
          </w:p>
        </w:tc>
        <w:tc>
          <w:tcPr>
            <w:tcW w:type="dxa" w:w="6336"/>
            <w:vAlign w:val="center"/>
            <w:tcMar>
              <w:top w:w="75" w:type="dxa"/>
              <w:bottom w:w="75" w:type="dxa"/>
              <w:left w:w="90" w:type="dxa"/>
              <w:right w:w="90" w:type="dxa"/>
            </w:tcMar>
          </w:tcPr>
          <w:p>
            <w:pPr>
              <w:spacing w:after="0" w:line="270" w:lineRule="exact"/>
            </w:pPr>
            <w:r>
              <w:rPr>
                <w:b w:val="0"/>
                <w:sz w:val="20"/>
              </w:rPr>
              <w:t>異なるホスト又はユーザーの同名ディストリビューションが統合されないこと。</w:t>
            </w:r>
          </w:p>
        </w:tc>
      </w:tr>
      <w:tr>
        <w:trPr>
          <w:cantSplit/>
        </w:trPr>
        <w:tc>
          <w:tcPr>
            <w:tcW w:type="dxa" w:w="792"/>
            <w:vAlign w:val="center"/>
            <w:tcMar>
              <w:top w:w="75" w:type="dxa"/>
              <w:bottom w:w="75" w:type="dxa"/>
              <w:left w:w="90" w:type="dxa"/>
              <w:right w:w="90" w:type="dxa"/>
            </w:tcMar>
          </w:tcPr>
          <w:p>
            <w:pPr>
              <w:spacing w:after="0" w:line="270" w:lineRule="exact"/>
              <w:jc w:val="center"/>
            </w:pPr>
            <w:r>
              <w:rPr>
                <w:b w:val="0"/>
                <w:sz w:val="20"/>
              </w:rPr>
              <w:t>07</w:t>
            </w:r>
          </w:p>
        </w:tc>
        <w:tc>
          <w:tcPr>
            <w:tcW w:type="dxa" w:w="2952"/>
            <w:vAlign w:val="center"/>
            <w:tcMar>
              <w:top w:w="75" w:type="dxa"/>
              <w:bottom w:w="75" w:type="dxa"/>
              <w:left w:w="90" w:type="dxa"/>
              <w:right w:w="90" w:type="dxa"/>
            </w:tcMar>
          </w:tcPr>
          <w:p>
            <w:pPr>
              <w:spacing w:after="0" w:line="270" w:lineRule="exact"/>
            </w:pPr>
            <w:r>
              <w:rPr>
                <w:b w:val="0"/>
                <w:sz w:val="20"/>
              </w:rPr>
              <w:t>識別フィールドの欠損</w:t>
            </w:r>
          </w:p>
        </w:tc>
        <w:tc>
          <w:tcPr>
            <w:tcW w:type="dxa" w:w="6336"/>
            <w:vAlign w:val="center"/>
            <w:tcMar>
              <w:top w:w="75" w:type="dxa"/>
              <w:bottom w:w="75" w:type="dxa"/>
              <w:left w:w="90" w:type="dxa"/>
              <w:right w:w="90" w:type="dxa"/>
            </w:tcMar>
          </w:tcPr>
          <w:p>
            <w:pPr>
              <w:spacing w:after="0" w:line="270" w:lineRule="exact"/>
            </w:pPr>
            <w:r>
              <w:rPr>
                <w:b w:val="0"/>
                <w:sz w:val="20"/>
              </w:rPr>
              <w:t>選定した複合エントリが照合されず、一意性の弱い名称による代替ルールで誤識別されないこと。欠損が記録され、誤作成を防止できること。</w:t>
            </w:r>
          </w:p>
        </w:tc>
      </w:tr>
      <w:tr>
        <w:trPr>
          <w:cantSplit/>
        </w:trPr>
        <w:tc>
          <w:tcPr>
            <w:tcW w:type="dxa" w:w="792"/>
            <w:vAlign w:val="center"/>
            <w:tcMar>
              <w:top w:w="75" w:type="dxa"/>
              <w:bottom w:w="75" w:type="dxa"/>
              <w:left w:w="90" w:type="dxa"/>
              <w:right w:w="90" w:type="dxa"/>
            </w:tcMar>
          </w:tcPr>
          <w:p>
            <w:pPr>
              <w:spacing w:after="0" w:line="270" w:lineRule="exact"/>
              <w:jc w:val="center"/>
            </w:pPr>
            <w:r>
              <w:rPr>
                <w:b w:val="0"/>
                <w:sz w:val="20"/>
              </w:rPr>
              <w:t>08</w:t>
            </w:r>
          </w:p>
        </w:tc>
        <w:tc>
          <w:tcPr>
            <w:tcW w:type="dxa" w:w="2952"/>
            <w:vAlign w:val="center"/>
            <w:tcMar>
              <w:top w:w="75" w:type="dxa"/>
              <w:bottom w:w="75" w:type="dxa"/>
              <w:left w:w="90" w:type="dxa"/>
              <w:right w:w="90" w:type="dxa"/>
            </w:tcMar>
          </w:tcPr>
          <w:p>
            <w:pPr>
              <w:spacing w:after="0" w:line="270" w:lineRule="exact"/>
            </w:pPr>
            <w:r>
              <w:rPr>
                <w:b w:val="0"/>
                <w:sz w:val="20"/>
              </w:rPr>
              <w:t>大文字／小文字及び形式の差</w:t>
            </w:r>
          </w:p>
        </w:tc>
        <w:tc>
          <w:tcPr>
            <w:tcW w:type="dxa" w:w="6336"/>
            <w:vAlign w:val="center"/>
            <w:tcMar>
              <w:top w:w="75" w:type="dxa"/>
              <w:bottom w:w="75" w:type="dxa"/>
              <w:left w:w="90" w:type="dxa"/>
              <w:right w:w="90" w:type="dxa"/>
            </w:tcMar>
          </w:tcPr>
          <w:p>
            <w:pPr>
              <w:spacing w:after="0" w:line="270" w:lineRule="exact"/>
            </w:pPr>
            <w:r>
              <w:rPr>
                <w:b w:val="0"/>
                <w:sz w:val="20"/>
              </w:rPr>
              <w:t>GUID、SID及びホスト識別子が統一形式で処理され、両ソースの結果が一致すること。</w:t>
            </w:r>
          </w:p>
        </w:tc>
      </w:tr>
      <w:tr>
        <w:trPr>
          <w:cantSplit/>
        </w:trPr>
        <w:tc>
          <w:tcPr>
            <w:tcW w:type="dxa" w:w="792"/>
            <w:vAlign w:val="center"/>
            <w:tcMar>
              <w:top w:w="75" w:type="dxa"/>
              <w:bottom w:w="75" w:type="dxa"/>
              <w:left w:w="90" w:type="dxa"/>
              <w:right w:w="90" w:type="dxa"/>
            </w:tcMar>
          </w:tcPr>
          <w:p>
            <w:pPr>
              <w:spacing w:after="0" w:line="270" w:lineRule="exact"/>
              <w:jc w:val="center"/>
            </w:pPr>
            <w:r>
              <w:rPr>
                <w:b w:val="0"/>
                <w:sz w:val="20"/>
              </w:rPr>
              <w:t>09</w:t>
            </w:r>
          </w:p>
        </w:tc>
        <w:tc>
          <w:tcPr>
            <w:tcW w:type="dxa" w:w="2952"/>
            <w:vAlign w:val="center"/>
            <w:tcMar>
              <w:top w:w="75" w:type="dxa"/>
              <w:bottom w:w="75" w:type="dxa"/>
              <w:left w:w="90" w:type="dxa"/>
              <w:right w:w="90" w:type="dxa"/>
            </w:tcMar>
          </w:tcPr>
          <w:p>
            <w:pPr>
              <w:spacing w:after="0" w:line="270" w:lineRule="exact"/>
            </w:pPr>
            <w:r>
              <w:rPr>
                <w:b w:val="0"/>
                <w:sz w:val="20"/>
              </w:rPr>
              <w:t>クローン又は新規登録したコピー</w:t>
            </w:r>
          </w:p>
        </w:tc>
        <w:tc>
          <w:tcPr>
            <w:tcW w:type="dxa" w:w="6336"/>
            <w:vAlign w:val="center"/>
            <w:tcMar>
              <w:top w:w="75" w:type="dxa"/>
              <w:bottom w:w="75" w:type="dxa"/>
              <w:left w:w="90" w:type="dxa"/>
              <w:right w:w="90" w:type="dxa"/>
            </w:tcMar>
          </w:tcPr>
          <w:p>
            <w:pPr>
              <w:spacing w:after="0" w:line="270" w:lineRule="exact"/>
            </w:pPr>
            <w:r>
              <w:rPr>
                <w:b w:val="0"/>
                <w:sz w:val="20"/>
              </w:rPr>
              <w:t>新規登録対象が元のCIを上書きせず、machine-idの重複を検出できること。ソースのnative keyを複製・再利用しないこと。</w:t>
            </w:r>
          </w:p>
        </w:tc>
      </w:tr>
      <w:tr>
        <w:trPr>
          <w:cantSplit/>
        </w:trPr>
        <w:tc>
          <w:tcPr>
            <w:tcW w:type="dxa" w:w="792"/>
            <w:vAlign w:val="center"/>
            <w:tcMar>
              <w:top w:w="75" w:type="dxa"/>
              <w:bottom w:w="75" w:type="dxa"/>
              <w:left w:w="90" w:type="dxa"/>
              <w:right w:w="90" w:type="dxa"/>
            </w:tcMar>
          </w:tcPr>
          <w:p>
            <w:pPr>
              <w:spacing w:after="0" w:line="270" w:lineRule="exact"/>
              <w:jc w:val="center"/>
            </w:pPr>
            <w:r>
              <w:rPr>
                <w:b w:val="0"/>
                <w:sz w:val="20"/>
              </w:rPr>
              <w:t>10</w:t>
            </w:r>
          </w:p>
        </w:tc>
        <w:tc>
          <w:tcPr>
            <w:tcW w:type="dxa" w:w="2952"/>
            <w:vAlign w:val="center"/>
            <w:tcMar>
              <w:top w:w="75" w:type="dxa"/>
              <w:bottom w:w="75" w:type="dxa"/>
              <w:left w:w="90" w:type="dxa"/>
              <w:right w:w="90" w:type="dxa"/>
            </w:tcMar>
          </w:tcPr>
          <w:p>
            <w:pPr>
              <w:spacing w:after="0" w:line="270" w:lineRule="exact"/>
            </w:pPr>
            <w:r>
              <w:rPr>
                <w:b w:val="0"/>
                <w:sz w:val="20"/>
              </w:rPr>
              <w:t>登録解除後の同名インポート</w:t>
            </w:r>
          </w:p>
        </w:tc>
        <w:tc>
          <w:tcPr>
            <w:tcW w:type="dxa" w:w="6336"/>
            <w:vAlign w:val="center"/>
            <w:tcMar>
              <w:top w:w="75" w:type="dxa"/>
              <w:bottom w:w="75" w:type="dxa"/>
              <w:left w:w="90" w:type="dxa"/>
              <w:right w:w="90" w:type="dxa"/>
            </w:tcMar>
          </w:tcPr>
          <w:p>
            <w:pPr>
              <w:spacing w:after="0" w:line="270" w:lineRule="exact"/>
            </w:pPr>
            <w:r>
              <w:rPr>
                <w:b w:val="0"/>
                <w:sz w:val="20"/>
              </w:rPr>
              <w:t>定義した同一性の方針に従って、新規作成又は管理下の移行が行われること。旧CIの廃止は別途管理すること。</w:t>
            </w:r>
          </w:p>
        </w:tc>
      </w:tr>
      <w:tr>
        <w:trPr>
          <w:cantSplit/>
        </w:trPr>
        <w:tc>
          <w:tcPr>
            <w:tcW w:type="dxa" w:w="792"/>
            <w:vAlign w:val="center"/>
            <w:tcMar>
              <w:top w:w="75" w:type="dxa"/>
              <w:bottom w:w="75" w:type="dxa"/>
              <w:left w:w="90" w:type="dxa"/>
              <w:right w:w="90" w:type="dxa"/>
            </w:tcMar>
          </w:tcPr>
          <w:p>
            <w:pPr>
              <w:spacing w:after="0" w:line="270" w:lineRule="exact"/>
              <w:jc w:val="center"/>
            </w:pPr>
            <w:r>
              <w:rPr>
                <w:b w:val="0"/>
                <w:sz w:val="20"/>
              </w:rPr>
              <w:t>11</w:t>
            </w:r>
          </w:p>
        </w:tc>
        <w:tc>
          <w:tcPr>
            <w:tcW w:type="dxa" w:w="2952"/>
            <w:vAlign w:val="center"/>
            <w:tcMar>
              <w:top w:w="75" w:type="dxa"/>
              <w:bottom w:w="75" w:type="dxa"/>
              <w:left w:w="90" w:type="dxa"/>
              <w:right w:w="90" w:type="dxa"/>
            </w:tcMar>
          </w:tcPr>
          <w:p>
            <w:pPr>
              <w:spacing w:after="0" w:line="270" w:lineRule="exact"/>
            </w:pPr>
            <w:r>
              <w:rPr>
                <w:b w:val="0"/>
                <w:sz w:val="20"/>
              </w:rPr>
              <w:t>通常Linuxの回帰テスト</w:t>
            </w:r>
          </w:p>
        </w:tc>
        <w:tc>
          <w:tcPr>
            <w:tcW w:type="dxa" w:w="6336"/>
            <w:vAlign w:val="center"/>
            <w:tcMar>
              <w:top w:w="75" w:type="dxa"/>
              <w:bottom w:w="75" w:type="dxa"/>
              <w:left w:w="90" w:type="dxa"/>
              <w:right w:w="90" w:type="dxa"/>
            </w:tcMar>
          </w:tcPr>
          <w:p>
            <w:pPr>
              <w:spacing w:after="0" w:line="270" w:lineRule="exact"/>
            </w:pPr>
            <w:r>
              <w:rPr>
                <w:b w:val="0"/>
                <w:sz w:val="20"/>
              </w:rPr>
              <w:t>既存Linux CIの識別、関係及び更新に影響せず、WSL以外が専用クラスへマッピングされないこと。</w:t>
            </w:r>
          </w:p>
        </w:tc>
      </w:tr>
      <w:tr>
        <w:trPr>
          <w:cantSplit/>
        </w:trPr>
        <w:tc>
          <w:tcPr>
            <w:tcW w:type="dxa" w:w="792"/>
            <w:vAlign w:val="center"/>
            <w:tcMar>
              <w:top w:w="75" w:type="dxa"/>
              <w:bottom w:w="75" w:type="dxa"/>
              <w:left w:w="90" w:type="dxa"/>
              <w:right w:w="90" w:type="dxa"/>
            </w:tcMar>
          </w:tcPr>
          <w:p>
            <w:pPr>
              <w:spacing w:after="0" w:line="270" w:lineRule="exact"/>
              <w:jc w:val="center"/>
            </w:pPr>
            <w:r>
              <w:rPr>
                <w:b w:val="0"/>
                <w:sz w:val="20"/>
              </w:rPr>
              <w:t>12</w:t>
            </w:r>
          </w:p>
        </w:tc>
        <w:tc>
          <w:tcPr>
            <w:tcW w:type="dxa" w:w="2952"/>
            <w:vAlign w:val="center"/>
            <w:tcMar>
              <w:top w:w="75" w:type="dxa"/>
              <w:bottom w:w="75" w:type="dxa"/>
              <w:left w:w="90" w:type="dxa"/>
              <w:right w:w="90" w:type="dxa"/>
            </w:tcMar>
          </w:tcPr>
          <w:p>
            <w:pPr>
              <w:spacing w:after="0" w:line="270" w:lineRule="exact"/>
            </w:pPr>
            <w:r>
              <w:rPr>
                <w:b w:val="0"/>
                <w:sz w:val="20"/>
              </w:rPr>
              <w:t>ソース権限及び属性更新</w:t>
            </w:r>
          </w:p>
        </w:tc>
        <w:tc>
          <w:tcPr>
            <w:tcW w:type="dxa" w:w="6336"/>
            <w:vAlign w:val="center"/>
            <w:tcMar>
              <w:top w:w="75" w:type="dxa"/>
              <w:bottom w:w="75" w:type="dxa"/>
              <w:left w:w="90" w:type="dxa"/>
              <w:right w:w="90" w:type="dxa"/>
            </w:tcMar>
          </w:tcPr>
          <w:p>
            <w:pPr>
              <w:spacing w:after="0" w:line="270" w:lineRule="exact"/>
            </w:pPr>
            <w:r>
              <w:rPr>
                <w:b w:val="0"/>
                <w:sz w:val="20"/>
              </w:rPr>
              <w:t>実ソースのReconciliation動作が正しく、名称又はOSの更新で同一性が変化せず、ソース権限を迂回しないこと。</w:t>
            </w:r>
          </w:p>
        </w:tc>
      </w:tr>
    </w:tbl>
    <w:p>
      <w:pPr>
        <w:spacing w:after="0" w:line="80" w:lineRule="exact"/>
      </w:pPr>
      <w:r>
        <w:rPr>
          <w:sz w:val="4"/>
        </w:rPr>
      </w:r>
    </w:p>
    <w:p>
      <w:pPr>
        <w:pStyle w:val="Heading2"/>
      </w:pPr>
      <w:r>
        <w:t>テスト合格後に実装結果を報告</w:t>
      </w:r>
    </w:p>
    <w:p>
      <w:pPr>
        <w:spacing w:line="300" w:lineRule="exact"/>
      </w:pPr>
      <w:r>
        <w:rPr>
          <w:b w:val="0"/>
        </w:rPr>
        <w:t>最低限の合格条件は、両ソースが実際に同じ対象クラスへ作成／更新できること、同一登録対象のsys_idが維持されること、異なる対象を誤統合しないこと、識別値欠損時に弱いルールで誤識別しないこと、通常Linuxの回帰テストが合格することです。未達項目がある場合は、未解決の条件として残します。</w:t>
      </w:r>
    </w:p>
    <w:p>
      <w:pPr>
        <w:pStyle w:val="Heading1"/>
        <w:pageBreakBefore/>
      </w:pPr>
      <w:r>
        <w:t>8 実装判断と運用</w:t>
      </w:r>
    </w:p>
    <w:p>
      <w:pPr>
        <w:pStyle w:val="Heading2"/>
      </w:pPr>
      <w:r>
        <w:t>本調査で確認できる事項</w:t>
      </w:r>
    </w:p>
    <w:p>
      <w:pPr>
        <w:spacing w:line="300" w:lineRule="exact"/>
      </w:pPr>
      <w:r>
        <w:rPr>
          <w:b w:val="0"/>
        </w:rPr>
        <w:t>公式文書で複数属性による識別及び識別ルールの継承設定が明示されているため、IREでWSL CIを作成する仕組みは実現可能です。既存payloadに直接利用できる信頼性の高いフィールドがあるか、ACCのどこでサポートされる拡張が可能か、両ソースをWindows登録対象へどう関連付けるかは、インスタンスでの検証事項です。</w:t>
      </w:r>
    </w:p>
    <w:p>
      <w:pPr>
        <w:pStyle w:val="Heading2"/>
      </w:pPr>
      <w:r>
        <w:t>方式の選択</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4320"/>
        <w:gridCol w:w="5760"/>
      </w:tblGrid>
      <w:tr>
        <w:trPr>
          <w:cantSplit/>
          <w:tblHeader/>
        </w:trPr>
        <w:tc>
          <w:tcPr>
            <w:tcW w:type="dxa" w:w="4320"/>
            <w:vAlign w:val="center"/>
            <w:tcMar>
              <w:top w:w="75" w:type="dxa"/>
              <w:bottom w:w="75" w:type="dxa"/>
              <w:left w:w="90" w:type="dxa"/>
              <w:right w:w="90" w:type="dxa"/>
            </w:tcMar>
            <w:shd w:fill="E7E6E6"/>
          </w:tcPr>
          <w:p>
            <w:pPr>
              <w:spacing w:after="0" w:line="270" w:lineRule="exact"/>
            </w:pPr>
            <w:r>
              <w:rPr>
                <w:b/>
                <w:sz w:val="20"/>
              </w:rPr>
              <w:t>実際の確認結果</w:t>
            </w:r>
          </w:p>
        </w:tc>
        <w:tc>
          <w:tcPr>
            <w:tcW w:type="dxa" w:w="5760"/>
            <w:vAlign w:val="center"/>
            <w:tcMar>
              <w:top w:w="75" w:type="dxa"/>
              <w:bottom w:w="75" w:type="dxa"/>
              <w:left w:w="90" w:type="dxa"/>
              <w:right w:w="90" w:type="dxa"/>
            </w:tcMar>
            <w:shd w:fill="E7E6E6"/>
          </w:tcPr>
          <w:p>
            <w:pPr>
              <w:spacing w:after="0" w:line="270" w:lineRule="exact"/>
            </w:pPr>
            <w:r>
              <w:rPr>
                <w:b/>
                <w:sz w:val="20"/>
              </w:rPr>
              <w:t>推奨対応</w:t>
            </w:r>
          </w:p>
        </w:tc>
      </w:tr>
      <w:tr>
        <w:trPr>
          <w:cantSplit/>
        </w:trPr>
        <w:tc>
          <w:tcPr>
            <w:tcW w:type="dxa" w:w="4320"/>
            <w:vAlign w:val="center"/>
            <w:tcMar>
              <w:top w:w="75" w:type="dxa"/>
              <w:bottom w:w="75" w:type="dxa"/>
              <w:left w:w="90" w:type="dxa"/>
              <w:right w:w="90" w:type="dxa"/>
            </w:tcMar>
          </w:tcPr>
          <w:p>
            <w:pPr>
              <w:spacing w:after="0" w:line="270" w:lineRule="exact"/>
            </w:pPr>
            <w:r>
              <w:rPr>
                <w:b w:val="0"/>
                <w:sz w:val="20"/>
              </w:rPr>
              <w:t>既存FQDNが一意かつ安定し、両経路で一致</w:t>
            </w:r>
          </w:p>
        </w:tc>
        <w:tc>
          <w:tcPr>
            <w:tcW w:type="dxa" w:w="5760"/>
            <w:vAlign w:val="center"/>
            <w:tcMar>
              <w:top w:w="75" w:type="dxa"/>
              <w:bottom w:w="75" w:type="dxa"/>
              <w:left w:w="90" w:type="dxa"/>
              <w:right w:w="90" w:type="dxa"/>
            </w:tcMar>
          </w:tcPr>
          <w:p>
            <w:pPr>
              <w:spacing w:after="0" w:line="270" w:lineRule="exact"/>
            </w:pPr>
            <w:r>
              <w:rPr>
                <w:b w:val="0"/>
                <w:sz w:val="20"/>
              </w:rPr>
              <w:t>限定したWSLサンプルで先行検証します。正式採用前に、名称変更、クローン及び同名再作成の方針を確認します。</w:t>
            </w:r>
          </w:p>
        </w:tc>
      </w:tr>
      <w:tr>
        <w:trPr>
          <w:cantSplit/>
        </w:trPr>
        <w:tc>
          <w:tcPr>
            <w:tcW w:type="dxa" w:w="4320"/>
            <w:vAlign w:val="center"/>
            <w:tcMar>
              <w:top w:w="75" w:type="dxa"/>
              <w:bottom w:w="75" w:type="dxa"/>
              <w:left w:w="90" w:type="dxa"/>
              <w:right w:w="90" w:type="dxa"/>
            </w:tcMar>
          </w:tcPr>
          <w:p>
            <w:pPr>
              <w:spacing w:after="0" w:line="270" w:lineRule="exact"/>
            </w:pPr>
            <w:r>
              <w:rPr>
                <w:b w:val="0"/>
                <w:sz w:val="20"/>
              </w:rPr>
              <w:t>ホスト識別子＋SID＋登録GUIDを追加収集可能</w:t>
            </w:r>
          </w:p>
        </w:tc>
        <w:tc>
          <w:tcPr>
            <w:tcW w:type="dxa" w:w="5760"/>
            <w:vAlign w:val="center"/>
            <w:tcMar>
              <w:top w:w="75" w:type="dxa"/>
              <w:bottom w:w="75" w:type="dxa"/>
              <w:left w:w="90" w:type="dxa"/>
              <w:right w:w="90" w:type="dxa"/>
            </w:tcMar>
          </w:tcPr>
          <w:p>
            <w:pPr>
              <w:spacing w:after="0" w:line="270" w:lineRule="exact"/>
            </w:pPr>
            <w:r>
              <w:rPr>
                <w:b w:val="0"/>
                <w:sz w:val="20"/>
              </w:rPr>
              <w:t>登録インスタンス方式を優先評価し、専用クラスで複合キーと両ソースのマッピングを検証します。</w:t>
            </w:r>
          </w:p>
        </w:tc>
      </w:tr>
      <w:tr>
        <w:trPr>
          <w:cantSplit/>
        </w:trPr>
        <w:tc>
          <w:tcPr>
            <w:tcW w:type="dxa" w:w="4320"/>
            <w:vAlign w:val="center"/>
            <w:tcMar>
              <w:top w:w="75" w:type="dxa"/>
              <w:bottom w:w="75" w:type="dxa"/>
              <w:left w:w="90" w:type="dxa"/>
              <w:right w:w="90" w:type="dxa"/>
            </w:tcMar>
          </w:tcPr>
          <w:p>
            <w:pPr>
              <w:spacing w:after="0" w:line="270" w:lineRule="exact"/>
            </w:pPr>
            <w:r>
              <w:rPr>
                <w:b w:val="0"/>
                <w:sz w:val="20"/>
              </w:rPr>
              <w:t>Linuxからmachine-idのみ取得可能</w:t>
            </w:r>
          </w:p>
        </w:tc>
        <w:tc>
          <w:tcPr>
            <w:tcW w:type="dxa" w:w="5760"/>
            <w:vAlign w:val="center"/>
            <w:tcMar>
              <w:top w:w="75" w:type="dxa"/>
              <w:bottom w:w="75" w:type="dxa"/>
              <w:left w:w="90" w:type="dxa"/>
              <w:right w:w="90" w:type="dxa"/>
            </w:tcMar>
          </w:tcPr>
          <w:p>
            <w:pPr>
              <w:spacing w:after="0" w:line="270" w:lineRule="exact"/>
            </w:pPr>
            <w:r>
              <w:rPr>
                <w:b w:val="0"/>
                <w:sz w:val="20"/>
              </w:rPr>
              <w:t>アプリケーション専用の派生識別子とホスト関連付けを評価し、複製による重複及び移行時の扱いを検証します。</w:t>
            </w:r>
          </w:p>
        </w:tc>
      </w:tr>
      <w:tr>
        <w:trPr>
          <w:cantSplit/>
        </w:trPr>
        <w:tc>
          <w:tcPr>
            <w:tcW w:type="dxa" w:w="4320"/>
            <w:vAlign w:val="center"/>
            <w:tcMar>
              <w:top w:w="75" w:type="dxa"/>
              <w:bottom w:w="75" w:type="dxa"/>
              <w:left w:w="90" w:type="dxa"/>
              <w:right w:w="90" w:type="dxa"/>
            </w:tcMar>
          </w:tcPr>
          <w:p>
            <w:pPr>
              <w:spacing w:after="0" w:line="270" w:lineRule="exact"/>
            </w:pPr>
            <w:r>
              <w:rPr>
                <w:b w:val="0"/>
                <w:sz w:val="20"/>
              </w:rPr>
              <w:t>名称、IP及び構成属性のみ取得可能</w:t>
            </w:r>
          </w:p>
        </w:tc>
        <w:tc>
          <w:tcPr>
            <w:tcW w:type="dxa" w:w="5760"/>
            <w:vAlign w:val="center"/>
            <w:tcMar>
              <w:top w:w="75" w:type="dxa"/>
              <w:bottom w:w="75" w:type="dxa"/>
              <w:left w:w="90" w:type="dxa"/>
              <w:right w:w="90" w:type="dxa"/>
            </w:tcMar>
          </w:tcPr>
          <w:p>
            <w:pPr>
              <w:spacing w:after="0" w:line="270" w:lineRule="exact"/>
            </w:pPr>
            <w:r>
              <w:rPr>
                <w:b w:val="0"/>
                <w:sz w:val="20"/>
              </w:rPr>
              <w:t>長期的に信頼できるキーを設計する根拠が不足しています。IREを通過させるために共通ルールを緩和しません。</w:t>
            </w:r>
          </w:p>
        </w:tc>
      </w:tr>
      <w:tr>
        <w:trPr>
          <w:cantSplit/>
        </w:trPr>
        <w:tc>
          <w:tcPr>
            <w:tcW w:type="dxa" w:w="4320"/>
            <w:vAlign w:val="center"/>
            <w:tcMar>
              <w:top w:w="75" w:type="dxa"/>
              <w:bottom w:w="75" w:type="dxa"/>
              <w:left w:w="90" w:type="dxa"/>
              <w:right w:w="90" w:type="dxa"/>
            </w:tcMar>
          </w:tcPr>
          <w:p>
            <w:pPr>
              <w:spacing w:after="0" w:line="270" w:lineRule="exact"/>
            </w:pPr>
            <w:r>
              <w:rPr>
                <w:b w:val="0"/>
                <w:sz w:val="20"/>
              </w:rPr>
              <w:t>フィールドは取得可能だが、ホストIRE payloadへ渡せない</w:t>
            </w:r>
          </w:p>
        </w:tc>
        <w:tc>
          <w:tcPr>
            <w:tcW w:type="dxa" w:w="5760"/>
            <w:vAlign w:val="center"/>
            <w:tcMar>
              <w:top w:w="75" w:type="dxa"/>
              <w:bottom w:w="75" w:type="dxa"/>
              <w:left w:w="90" w:type="dxa"/>
              <w:right w:w="90" w:type="dxa"/>
            </w:tcMar>
          </w:tcPr>
          <w:p>
            <w:pPr>
              <w:spacing w:after="0" w:line="270" w:lineRule="exact"/>
            </w:pPr>
            <w:r>
              <w:rPr>
                <w:b w:val="0"/>
                <w:sz w:val="20"/>
              </w:rPr>
              <w:t>先にサポートされる収集／マッピング方法を確立します。現時点では、既存の両処理経路で実現可能とは判定できません。</w:t>
            </w:r>
          </w:p>
        </w:tc>
      </w:tr>
    </w:tbl>
    <w:p>
      <w:pPr>
        <w:spacing w:after="0" w:line="80" w:lineRule="exact"/>
      </w:pPr>
      <w:r>
        <w:rPr>
          <w:sz w:val="4"/>
        </w:rPr>
      </w:r>
    </w:p>
    <w:p>
      <w:pPr>
        <w:pStyle w:val="Heading2"/>
      </w:pPr>
      <w:r>
        <w:t>変更管理及びロールバック</w:t>
      </w:r>
    </w:p>
    <w:p>
      <w:pPr>
        <w:spacing w:line="300" w:lineRule="exact"/>
      </w:pPr>
      <w:r>
        <w:rPr>
          <w:b w:val="0"/>
        </w:rPr>
        <w:t>実施前に、専用クラス、フィールド、識別エントリ、収集マッピング、ソース情報及び関係設定を記録します。サンプル範囲を限定し、プロジェクトの変更管理に従います。誤統合、通常Linuxへの影響又はフィールド欠損が発生した場合は、WSL用のカスタム収集及びマッピングを先に停止し、承認済み設定へ戻します。</w:t>
      </w:r>
    </w:p>
    <w:p>
      <w:pPr>
        <w:spacing w:line="300" w:lineRule="exact"/>
      </w:pPr>
      <w:r>
        <w:rPr>
          <w:b w:val="0"/>
        </w:rPr>
        <w:t>ルールを無効化しても、既に実行されたCIの作成、更新又は誤統合は取り消されません。サンプルのsys_idと影響属性を事前に保存し、削除・復旧は別途承認を得ます。通常Linux CIの一括削除、machine-idのリセット、日常的な修復としてのwsl --unregisterは行いません。登録解除及び再作成のライフサイクルテストには、承認済みの破棄可能なサンプルだけを使用します。</w:t>
      </w:r>
    </w:p>
    <w:p>
      <w:pPr>
        <w:pStyle w:val="Heading2"/>
      </w:pPr>
      <w:r>
        <w:t>プロジェクト側で決定する事項</w:t>
      </w:r>
    </w:p>
    <w:p>
      <w:pPr>
        <w:spacing w:line="300" w:lineRule="exact"/>
      </w:pPr>
      <w:r>
        <w:rPr>
          <w:b w:val="0"/>
        </w:rPr>
        <w:t>CIが「登録インスタンス」又は「移行可能なディストリビューション」のどちらを表すか、ホストの安定した識別子、許可するカスタマイズとサポート範囲、WindowsとLinuxの識別情報の関連付けを維持する担当者、クローン・移行・廃止の管理方法を決定します。これらの決定は、識別ルール1つで代替できません。</w:t>
      </w:r>
    </w:p>
    <w:p>
      <w:pPr>
        <w:spacing w:line="300" w:lineRule="exact"/>
      </w:pPr>
      <w:r>
        <w:rPr>
          <w:b w:val="0"/>
        </w:rPr>
        <w:t>サポート範囲の正式確認が必要な場合は、問い合わせ権限を持つプロジェクト担当者を通じて、WSL、現行ACCバージョン及び拡張方法についてServiceNow Supportへ相談することを推奨します。</w:t>
      </w:r>
    </w:p>
    <w:p>
      <w:pPr>
        <w:pStyle w:val="Heading1"/>
        <w:pageBreakBefore/>
      </w:pPr>
      <w:r>
        <w:t>9 公式参考資料と結論の対応</w:t>
      </w:r>
    </w:p>
    <w:p>
      <w:pPr>
        <w:spacing w:line="300" w:lineRule="exact"/>
      </w:pPr>
      <w:r>
        <w:rPr>
          <w:b w:val="0"/>
        </w:rPr>
        <w:t>ServiceNowの引用はAustralia版に固定しています。調査日は2026年10月8日です。以下の資料名は公式ページへのリンクです。記載したセクション名でページ内の該当箇所を確認できます。</w:t>
      </w:r>
    </w:p>
    <w:p>
      <w:pPr>
        <w:keepNext/>
        <w:spacing w:line="300" w:lineRule="exact"/>
      </w:pPr>
      <w:r>
        <w:rPr>
          <w:b/>
        </w:rPr>
        <w:t xml:space="preserve">R1  </w:t>
      </w:r>
      <w:hyperlink r:id="rId10">
        <w:r>
          <w:rPr>
            <w:rFonts w:ascii="Calibri" w:eastAsia="Yu Gothic"/>
            <w:color w:val="000000"/>
            <w:u w:val="single"/>
          </w:rPr>
          <w:t>Create a CI identification rule</w:t>
        </w:r>
      </w:hyperlink>
    </w:p>
    <w:p>
      <w:pPr>
        <w:spacing w:line="300" w:lineRule="exact"/>
      </w:pPr>
      <w:r>
        <w:rPr>
          <w:b w:val="0"/>
        </w:rPr>
        <w:t>参照箇所：Procedure、Criterion Attributes、Allow null attribute、Priority、Advanced identifier entries conditions。</w:t>
      </w:r>
    </w:p>
    <w:p>
      <w:pPr>
        <w:spacing w:line="300" w:lineRule="exact"/>
      </w:pPr>
      <w:r>
        <w:rPr>
          <w:b w:val="0"/>
        </w:rPr>
        <w:t>裏付ける内容：同じエントリに対象クラス又は親クラスの複数属性を設定可能です。空値を許可しない場合、すべての属性に値が必要です。小さいPriorityから実行されます。グローバル条件の有効化は他ルールへの影響評価が必要です。第1、5節で参照。</w:t>
      </w:r>
    </w:p>
    <w:p>
      <w:pPr>
        <w:keepNext/>
        <w:spacing w:line="300" w:lineRule="exact"/>
      </w:pPr>
      <w:r>
        <w:rPr>
          <w:b/>
        </w:rPr>
        <w:t xml:space="preserve">R2  </w:t>
      </w:r>
      <w:hyperlink r:id="rId11">
        <w:r>
          <w:rPr>
            <w:rFonts w:ascii="Calibri" w:eastAsia="Yu Gothic"/>
            <w:color w:val="000000"/>
            <w:u w:val="single"/>
          </w:rPr>
          <w:t>Identification rules</w:t>
        </w:r>
      </w:hyperlink>
    </w:p>
    <w:p>
      <w:pPr>
        <w:spacing w:line="300" w:lineRule="exact"/>
      </w:pPr>
      <w:r>
        <w:rPr>
          <w:b w:val="0"/>
        </w:rPr>
        <w:t>参照箇所：ルールの概要、Derivation across the CMDB hierarchy、Related Entries。</w:t>
      </w:r>
    </w:p>
    <w:p>
      <w:pPr>
        <w:spacing w:line="300" w:lineRule="exact"/>
      </w:pPr>
      <w:r>
        <w:rPr>
          <w:b w:val="0"/>
        </w:rPr>
        <w:t>裏付ける内容：独自ルールのない子クラスはルールを継承します。独自ルールを定義した場合、必要なエントリとRelated Entriesを明示的に設定します。Related Entriesはホストを直接識別するフィールドキーではありません。第1、4、5節で参照。</w:t>
      </w:r>
    </w:p>
    <w:p>
      <w:pPr>
        <w:keepNext/>
        <w:spacing w:line="300" w:lineRule="exact"/>
      </w:pPr>
      <w:r>
        <w:rPr>
          <w:b/>
        </w:rPr>
        <w:t xml:space="preserve">R3  </w:t>
      </w:r>
      <w:hyperlink r:id="rId12">
        <w:r>
          <w:rPr>
            <w:rFonts w:ascii="Calibri" w:eastAsia="Yu Gothic"/>
            <w:color w:val="000000"/>
            <w:u w:val="single"/>
          </w:rPr>
          <w:t>ACC data collection tables</w:t>
        </w:r>
      </w:hyperlink>
    </w:p>
    <w:p>
      <w:pPr>
        <w:spacing w:line="300" w:lineRule="exact"/>
      </w:pPr>
      <w:r>
        <w:rPr>
          <w:b w:val="0"/>
        </w:rPr>
        <w:t>参照箇所：Framework／Enhancedのデータ収集・フィールドマッピング表、Hostname、FQDN、Serial number、Object ID。</w:t>
      </w:r>
    </w:p>
    <w:p>
      <w:pPr>
        <w:spacing w:line="300" w:lineRule="exact"/>
      </w:pPr>
      <w:r>
        <w:rPr>
          <w:b w:val="0"/>
        </w:rPr>
        <w:t>裏付ける内容：標準マッピングには名称、FQDN、シリアル番号及びEnhancedのobject_idが含まれます。本方式のWSL登録フィールドは表に記載されていません。未記載であることはカスタマイズ不可を意味せず、object_idがWSLの同一性を表す根拠にもなりません。第2、5節で参照。</w:t>
      </w:r>
    </w:p>
    <w:p>
      <w:pPr>
        <w:keepNext/>
        <w:spacing w:line="300" w:lineRule="exact"/>
      </w:pPr>
      <w:r>
        <w:rPr>
          <w:b/>
        </w:rPr>
        <w:t xml:space="preserve">R4  </w:t>
      </w:r>
      <w:hyperlink r:id="rId13">
        <w:r>
          <w:rPr>
            <w:rFonts w:ascii="Calibri" w:eastAsia="Yu Gothic"/>
            <w:color w:val="000000"/>
            <w:u w:val="single"/>
          </w:rPr>
          <w:t>IdentificationEngineScriptableApi Global</w:t>
        </w:r>
      </w:hyperlink>
    </w:p>
    <w:p>
      <w:pPr>
        <w:spacing w:line="300" w:lineRule="exact"/>
      </w:pPr>
      <w:r>
        <w:rPr>
          <w:b w:val="0"/>
        </w:rPr>
        <w:t>参照箇所：createOrUpdateCIのinput.items.internal_id、identifyCI(String jsonString)、identifyCIEnhanced(String source, String input, Object options)。</w:t>
      </w:r>
    </w:p>
    <w:p>
      <w:pPr>
        <w:spacing w:line="300" w:lineRule="exact"/>
      </w:pPr>
      <w:r>
        <w:rPr>
          <w:b w:val="0"/>
        </w:rPr>
        <w:t>裏付ける内容：internal_idは単一payload内でのみ一意である必要があります。identifyCI／identifyCIEnhancedはシミュレーションし、データベース操作をコミットしません。createOrUpdateCIは書込みを行います。第2、6節で参照。</w:t>
      </w:r>
    </w:p>
    <w:p>
      <w:pPr>
        <w:pStyle w:val="Heading1"/>
        <w:pageBreakBefore/>
      </w:pPr>
      <w:r>
        <w:t>10 WSLとLinuxの公式参考資料</w:t>
      </w:r>
    </w:p>
    <w:p>
      <w:pPr>
        <w:keepNext/>
        <w:spacing w:line="300" w:lineRule="exact"/>
      </w:pPr>
      <w:r>
        <w:rPr>
          <w:b/>
        </w:rPr>
        <w:t xml:space="preserve">R5  </w:t>
      </w:r>
      <w:hyperlink r:id="rId14">
        <w:r>
          <w:rPr>
            <w:rFonts w:ascii="Calibri" w:eastAsia="Yu Gothic"/>
            <w:color w:val="000000"/>
            <w:u w:val="single"/>
          </w:rPr>
          <w:t>Microsoft WSL architecture</w:t>
        </w:r>
      </w:hyperlink>
    </w:p>
    <w:p>
      <w:pPr>
        <w:spacing w:line="300" w:lineRule="exact"/>
      </w:pPr>
      <w:r>
        <w:rPr>
          <w:b w:val="0"/>
        </w:rPr>
        <w:t>参照箇所：What is WSL 2。</w:t>
      </w:r>
    </w:p>
    <w:p>
      <w:pPr>
        <w:spacing w:line="300" w:lineRule="exact"/>
      </w:pPr>
      <w:r>
        <w:rPr>
          <w:b w:val="0"/>
        </w:rPr>
        <w:t>裏付ける内容：WSL 2のディストリビューションは、管理される軽量VM上の分離されたコンテナとして動作し、ネットワーク名前空間、CPU／Kernel／Memory等を共有します。共有リソースから各ディストリビューションの一意性を判断することはできません。第2、3節で参照。</w:t>
      </w:r>
    </w:p>
    <w:p>
      <w:pPr>
        <w:keepNext/>
        <w:spacing w:line="300" w:lineRule="exact"/>
      </w:pPr>
      <w:r>
        <w:rPr>
          <w:b/>
        </w:rPr>
        <w:t xml:space="preserve">R6  </w:t>
      </w:r>
      <w:hyperlink r:id="rId15">
        <w:r>
          <w:rPr>
            <w:rFonts w:ascii="Calibri" w:eastAsia="Yu Gothic"/>
            <w:color w:val="000000"/>
            <w:u w:val="single"/>
          </w:rPr>
          <w:t>Microsoft WSL disk space</w:t>
        </w:r>
      </w:hyperlink>
    </w:p>
    <w:p>
      <w:pPr>
        <w:spacing w:line="300" w:lineRule="exact"/>
      </w:pPr>
      <w:r>
        <w:rPr>
          <w:b w:val="0"/>
        </w:rPr>
        <w:t>参照箇所：How to locate the .vhdx file and disk path for your Linux distribution、PowerShellの例。</w:t>
      </w:r>
    </w:p>
    <w:p>
      <w:pPr>
        <w:spacing w:line="300" w:lineRule="exact"/>
      </w:pPr>
      <w:r>
        <w:rPr>
          <w:b w:val="0"/>
        </w:rPr>
        <w:t>裏付ける内容：Microsoftは、HKCU\Software\Microsoft\Windows\CurrentVersion\Lxss配下でDistributionNameによりディストリビューションを検索する方法を示しています。ユーザーの実行コンテキストと登録情報の収集場所の根拠ですが、GUIDのライフサイクルを保証するものではありません。第3、4節で参照。</w:t>
      </w:r>
    </w:p>
    <w:p>
      <w:pPr>
        <w:keepNext/>
        <w:spacing w:line="300" w:lineRule="exact"/>
      </w:pPr>
      <w:r>
        <w:rPr>
          <w:b/>
        </w:rPr>
        <w:t xml:space="preserve">R7  </w:t>
      </w:r>
      <w:hyperlink r:id="rId16">
        <w:r>
          <w:rPr>
            <w:rFonts w:ascii="Calibri" w:eastAsia="Yu Gothic"/>
            <w:color w:val="000000"/>
            <w:u w:val="single"/>
          </w:rPr>
          <w:t>Microsoft Terminal WslDistroGenerator.cpp</w:t>
        </w:r>
      </w:hyperlink>
    </w:p>
    <w:p>
      <w:pPr>
        <w:spacing w:line="300" w:lineRule="exact"/>
      </w:pPr>
      <w:r>
        <w:rPr>
          <w:b w:val="0"/>
        </w:rPr>
        <w:t>参照箇所：ファイル冒頭付近のWSL entries are structured as suchのコメント、openWslRegKey、openDistroKey、getWslGuids。</w:t>
      </w:r>
    </w:p>
    <w:p>
      <w:pPr>
        <w:spacing w:line="300" w:lineRule="exact"/>
      </w:pPr>
      <w:r>
        <w:rPr>
          <w:b w:val="0"/>
        </w:rPr>
        <w:t>裏付ける内容：公式ソースコードは、HKCUのLxss配下の{distroGuid}サブキーとDistributionNameを明示し、登録情報の読取りにHKEY_CURRENT_USERを使用しています。この証拠は、ServiceNowの標準収集や正式サポートの保証ではありません。第3、4節で参照。</w:t>
      </w:r>
    </w:p>
    <w:p>
      <w:pPr>
        <w:keepNext/>
        <w:spacing w:line="300" w:lineRule="exact"/>
      </w:pPr>
      <w:r>
        <w:rPr>
          <w:b/>
        </w:rPr>
        <w:t xml:space="preserve">R8  </w:t>
      </w:r>
      <w:hyperlink r:id="rId17">
        <w:r>
          <w:rPr>
            <w:rFonts w:ascii="Calibri" w:eastAsia="Yu Gothic"/>
            <w:color w:val="000000"/>
            <w:u w:val="single"/>
          </w:rPr>
          <w:t>systemd machine id official manual source</w:t>
        </w:r>
      </w:hyperlink>
    </w:p>
    <w:p>
      <w:pPr>
        <w:spacing w:line="300" w:lineRule="exact"/>
      </w:pPr>
      <w:r>
        <w:rPr>
          <w:b w:val="0"/>
        </w:rPr>
        <w:t>参照箇所：Description、Initialization。</w:t>
      </w:r>
    </w:p>
    <w:p>
      <w:pPr>
        <w:spacing w:line="300" w:lineRule="exact"/>
      </w:pPr>
      <w:r>
        <w:rPr>
          <w:b w:val="0"/>
        </w:rPr>
        <w:t>裏付ける内容：machine-idは通常、インストール又は初回起動時に生成され、再起動後も維持されます。汎用イメージに同じIDを含めないようにし、元の値は機密情報として扱います。アプリケーションの識別には、アプリケーション専用キーを用いた派生値を使用します。第2、3、4節で参照。</w:t>
      </w:r>
    </w:p>
    <w:p>
      <w:pPr>
        <w:keepNext/>
        <w:spacing w:line="300" w:lineRule="exact"/>
      </w:pPr>
      <w:r>
        <w:rPr>
          <w:b/>
        </w:rPr>
        <w:t xml:space="preserve">R9  </w:t>
      </w:r>
      <w:hyperlink r:id="rId18">
        <w:r>
          <w:rPr>
            <w:rFonts w:ascii="Calibri" w:eastAsia="Yu Gothic"/>
            <w:color w:val="000000"/>
            <w:u w:val="single"/>
          </w:rPr>
          <w:t>Linux discovery</w:t>
        </w:r>
      </w:hyperlink>
    </w:p>
    <w:p>
      <w:pPr>
        <w:spacing w:line="300" w:lineRule="exact"/>
      </w:pPr>
      <w:r>
        <w:rPr>
          <w:b w:val="0"/>
        </w:rPr>
        <w:t>参照箇所：Classifier probes and pattern、Data collected、Supportability details。</w:t>
      </w:r>
    </w:p>
    <w:p>
      <w:pPr>
        <w:spacing w:line="300" w:lineRule="exact"/>
      </w:pPr>
      <w:r>
        <w:rPr>
          <w:b w:val="0"/>
        </w:rPr>
        <w:t>裏付ける内容：デフォルトのLinux Server Patternと、ホスト名、ドメイン、シリアル番号等の収集フィールドが記載されています。KVM VM Instanceテーブルのobject_idは、Linuxホストに同じ意味の値がある証拠ではありません。WSLへの適用可否は別途確認が必要です。第4、5節で参照。</w:t>
      </w:r>
    </w:p>
    <w:p>
      <w:pPr>
        <w:spacing w:line="300" w:lineRule="exact"/>
      </w:pPr>
      <w:r>
        <w:rPr>
          <w:b w:val="0"/>
        </w:rPr>
        <w:t>根拠の区分：上記のプラットフォームの仕組みは公式に明記されています。登録インスタンスの複合キーは、公式構造に基づく設計上の提案です。実際のpayload、フィールドのライフサイクル、マッピング方法及び最終的な登録結果は、顧客インスタンスでの検証が必要です。</w:t>
      </w:r>
    </w:p>
    <w:sectPr w:rsidR="00FC693F" w:rsidRPr="0006063C" w:rsidSect="00034616">
      <w:footerReference w:type="default" r:id="rId9"/>
      <w:pgSz w:w="12240" w:h="15840"/>
      <w:pgMar w:top="1008" w:right="1080" w:bottom="936" w:left="1080"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ページ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Calibri" w:hAnsi="Calibri" w:eastAsia="Yu Gothic"/>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line="240" w:lineRule="auto"/>
      <w:outlineLvl w:val="0"/>
    </w:pPr>
    <w:rPr>
      <w:rFonts w:asciiTheme="majorHAnsi" w:eastAsiaTheme="majorEastAsia" w:hAnsiTheme="majorHAnsi" w:cstheme="majorBidi" w:ascii="Calibri" w:hAnsi="Calibri" w:eastAsia="Yu Gothic"/>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80" w:line="240" w:lineRule="auto"/>
      <w:outlineLvl w:val="1"/>
    </w:pPr>
    <w:rPr>
      <w:rFonts w:asciiTheme="majorHAnsi" w:eastAsiaTheme="majorEastAsia" w:hAnsiTheme="majorHAnsi" w:cstheme="majorBidi" w:ascii="Calibri" w:hAnsi="Calibri" w:eastAsia="Yu Gothi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contextualSpacing/>
    </w:pPr>
    <w:rPr>
      <w:rFonts w:asciiTheme="majorHAnsi" w:eastAsiaTheme="majorEastAsia" w:hAnsiTheme="majorHAnsi" w:cstheme="majorBidi" w:ascii="Calibri" w:hAnsi="Calibri" w:eastAsia="Yu Gothic"/>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80" w:line="240" w:lineRule="auto"/>
    </w:pPr>
    <w:rPr>
      <w:rFonts w:asciiTheme="majorHAnsi" w:eastAsiaTheme="majorEastAsia" w:hAnsiTheme="majorHAnsi" w:cstheme="majorBidi" w:ascii="Calibri" w:hAnsi="Calibri" w:eastAsia="Yu Gothic"/>
      <w:b w:val="0"/>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line="240" w:lineRule="auto"/>
    </w:pPr>
    <w:rPr>
      <w:rFonts w:ascii="Consolas" w:hAnsi="Consolas" w:eastAsia="Yu Gothic"/>
      <w:b w:val="0"/>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servicenow.com/docs/r/australia/servicenow-platform/configuration-management-database-cmdb/t_CreateCIIdentificationRule.html" TargetMode="External"/><Relationship Id="rId11" Type="http://schemas.openxmlformats.org/officeDocument/2006/relationships/hyperlink" Target="https://www.servicenow.com/docs/r/australia/servicenow-platform/configuration-management-database-cmdb/c_IdentificationRules.html" TargetMode="External"/><Relationship Id="rId12" Type="http://schemas.openxmlformats.org/officeDocument/2006/relationships/hyperlink" Target="https://www.servicenow.com/docs/r/australia/it-operations-management/agent-client-collector/acc-data-collection.html" TargetMode="External"/><Relationship Id="rId13" Type="http://schemas.openxmlformats.org/officeDocument/2006/relationships/hyperlink" Target="https://www.servicenow.com/docs/r/australia/api-reference/server-api-reference/c_IdentEngineScriptAPI.html" TargetMode="External"/><Relationship Id="rId14" Type="http://schemas.openxmlformats.org/officeDocument/2006/relationships/hyperlink" Target="https://learn.microsoft.com/en-us/windows/wsl/about#what-is-wsl-2" TargetMode="External"/><Relationship Id="rId15" Type="http://schemas.openxmlformats.org/officeDocument/2006/relationships/hyperlink" Target="https://learn.microsoft.com/en-us/windows/wsl/disk-space" TargetMode="External"/><Relationship Id="rId16" Type="http://schemas.openxmlformats.org/officeDocument/2006/relationships/hyperlink" Target="https://github.com/microsoft/terminal/blob/20998f762838f70152a7d1b905e6191f45fa7592/src/cascadia/TerminalSettingsModel/WslDistroGenerator.cpp" TargetMode="External"/><Relationship Id="rId17" Type="http://schemas.openxmlformats.org/officeDocument/2006/relationships/hyperlink" Target="https://github.com/systemd/systemd/blob/64fcb07199f8409a074575eda5abb69b0caab06f/man/machine-id.xml" TargetMode="External"/><Relationship Id="rId18" Type="http://schemas.openxmlformats.org/officeDocument/2006/relationships/hyperlink" Target="https://www.servicenow.com/docs/r/australia/it-operations-management/itom-visibility/r_DataCollDiscoLinuxComputer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WSL CI作成とIRE複合識別ルールの調査</dc:title>
  <dc:subject>ServiceNow Australia 水平Discovery及びACCの識別属性不足</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