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Arial" w:hAnsi="Arial" w:eastAsia="Microsoft YaHei"/>
          <w:color w:val="000000"/>
        </w:rPr>
        <w:t>ACC 与 MID Server 日常通信量官方参考资料</w:t>
      </w:r>
    </w:p>
    <w:p>
      <w:pPr>
        <w:spacing w:after="140"/>
      </w:pPr>
      <w:r>
        <w:rPr>
          <w:rFonts w:ascii="Arial" w:hAnsi="Arial" w:eastAsia="Microsoft YaHei"/>
          <w:color w:val="000000"/>
          <w:sz w:val="19"/>
        </w:rPr>
        <w:t>中文版    核对日期 2026年10月5日</w:t>
      </w:r>
    </w:p>
    <w:p>
      <w:pPr>
        <w:spacing w:after="100"/>
      </w:pPr>
      <w:r>
        <w:rPr>
          <w:rFonts w:ascii="Arial" w:hAnsi="Arial" w:eastAsia="Microsoft YaHei"/>
          <w:color w:val="000000"/>
        </w:rPr>
        <w:t>用于 PoC 流量评估及向环境负责人说明通信需求。官方提供的是特定条件下的数据量或按次通信量示例，不能直接当作 ACC 或 MID VM 的每日整机流量标准。</w:t>
      </w:r>
    </w:p>
    <w:p>
      <w:pPr>
        <w:spacing w:after="100"/>
      </w:pPr>
      <w:r>
        <w:rPr>
          <w:rFonts w:ascii="Arial" w:hAnsi="Arial" w:eastAsia="Microsoft YaHei"/>
          <w:color w:val="000000"/>
          <w:sz w:val="19"/>
        </w:rPr>
        <w:t>文档版本：本次核对的 ServiceNow 页面为 Brazil 版本，更新日期为2026年9月10日；客户实例及 ACC Content 版本、启用的 Policy 和执行频率需另行确认。</w:t>
      </w:r>
    </w:p>
    <w:p>
      <w:pPr>
        <w:pStyle w:val="Heading1"/>
        <w:spacing w:after="100"/>
      </w:pPr>
      <w:r>
        <w:rPr>
          <w:rFonts w:ascii="Arial" w:hAnsi="Arial" w:eastAsia="Microsoft YaHei"/>
          <w:color w:val="000000"/>
        </w:rPr>
        <w:t>1 ACC 数据采集参考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1814"/>
        <w:gridCol w:w="5613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7E7E7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7E7E7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官方参考值</w:t>
            </w:r>
          </w:p>
        </w:tc>
        <w:tc>
          <w:tcPr>
            <w:tcW w:type="dxa" w:w="561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7E7E7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适用条件与含义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ACC-VC 数据摄入量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约 572 KB/台/日</w:t>
            </w:r>
          </w:p>
        </w:tc>
        <w:tc>
          <w:tcPr>
            <w:tcW w:type="dxa" w:w="561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每日一次采集的官方示例；参考条件涉及每台约1,500个已安装软件、500个运行进程等数据。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Enhanced Discovery 默认间隔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24 小时</w:t>
              <w:br/>
              <w:t>86,400 秒</w:t>
            </w:r>
          </w:p>
        </w:tc>
        <w:tc>
          <w:tcPr>
            <w:tcW w:type="dxa" w:w="561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间隔可调整；调整后须按实际执行频率评估。</w:t>
            </w:r>
          </w:p>
        </w:tc>
      </w:tr>
    </w:tbl>
    <w:p>
      <w:pPr>
        <w:spacing w:after="120"/>
      </w:pPr>
      <w:r>
        <w:rPr>
          <w:rFonts w:ascii="Arial" w:hAnsi="Arial" w:eastAsia="Microsoft YaHei"/>
          <w:color w:val="000000"/>
        </w:rPr>
      </w:r>
      <w:r>
        <w:rPr>
          <w:rFonts w:ascii="Arial" w:hAnsi="Arial" w:eastAsia="Microsoft YaHei"/>
          <w:color w:val="000000"/>
          <w:sz w:val="19"/>
        </w:rPr>
        <w:t>官方依据：</w:t>
      </w:r>
      <w:hyperlink r:id="rId9">
        <w:r>
          <w:rPr>
            <w:rFonts w:ascii="Arial" w:hAnsi="Arial" w:eastAsia="Microsoft YaHei"/>
            <w:color w:val="444444"/>
            <w:sz w:val="19"/>
            <w:u w:val="single"/>
          </w:rPr>
          <w:t>[S1] 官方文档</w:t>
        </w:r>
      </w:hyperlink>
      <w:r>
        <w:rPr>
          <w:rFonts w:ascii="Arial" w:hAnsi="Arial" w:eastAsia="Microsoft YaHei"/>
          <w:color w:val="000000"/>
          <w:sz w:val="19"/>
        </w:rPr>
        <w:t>；Policies 下的 Note 和 Enhanced Discovery 行。</w:t>
      </w:r>
    </w:p>
    <w:p>
      <w:pPr>
        <w:spacing w:after="100"/>
      </w:pPr>
      <w:r>
        <w:rPr>
          <w:rFonts w:ascii="Arial" w:hAnsi="Arial" w:eastAsia="Microsoft YaHei"/>
          <w:color w:val="000000"/>
        </w:rPr>
        <w:t>572 KB 是数据摄入量，不等同于 ACC VM 的整机网络流量，也不是包含心跳、控制消息和协议开销的完整通信预算。不能直接用于判断 ACC 全部网络通信是否正常。</w:t>
      </w:r>
    </w:p>
    <w:p>
      <w:pPr>
        <w:pStyle w:val="Heading1"/>
        <w:spacing w:after="100"/>
      </w:pPr>
      <w:r>
        <w:rPr>
          <w:rFonts w:ascii="Arial" w:hAnsi="Arial" w:eastAsia="Microsoft YaHei"/>
          <w:color w:val="000000"/>
        </w:rPr>
        <w:t>2 Pattern Discovery 后续扫描通信量</w:t>
      </w:r>
    </w:p>
    <w:p>
      <w:pPr>
        <w:spacing w:after="80"/>
      </w:pPr>
      <w:r>
        <w:rPr>
          <w:rFonts w:ascii="Arial" w:hAnsi="Arial" w:eastAsia="Microsoft YaHei"/>
          <w:color w:val="000000"/>
        </w:rPr>
        <w:t>以下取官方 Table 3 的 Update 行，单位为 MB/台/次。目标设备指被远程 Discovery 扫描的设备；本表不是 ACC 通信量参考。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616"/>
        <w:gridCol w:w="1616"/>
        <w:gridCol w:w="1502"/>
        <w:gridCol w:w="1502"/>
        <w:gridCol w:w="1644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7E7E7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目标</w:t>
              <w:br/>
              <w:t>设备</w:t>
            </w:r>
          </w:p>
        </w:tc>
        <w:tc>
          <w:tcPr>
            <w:tcW w:type="dxa" w:w="161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7E7E7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MID →</w:t>
              <w:br/>
              <w:t>Instance</w:t>
            </w:r>
          </w:p>
        </w:tc>
        <w:tc>
          <w:tcPr>
            <w:tcW w:type="dxa" w:w="161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7E7E7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Instance</w:t>
              <w:br/>
              <w:t>→ MID</w:t>
            </w:r>
          </w:p>
        </w:tc>
        <w:tc>
          <w:tcPr>
            <w:tcW w:type="dxa" w:w="15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7E7E7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MID →</w:t>
              <w:br/>
              <w:t>目标</w:t>
            </w:r>
          </w:p>
        </w:tc>
        <w:tc>
          <w:tcPr>
            <w:tcW w:type="dxa" w:w="15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7E7E7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目标 →</w:t>
              <w:br/>
              <w:t>MID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7E7E7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四方向</w:t>
              <w:br/>
              <w:t>合计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Windows</w:t>
              <w:br/>
              <w:t>Server</w:t>
            </w:r>
          </w:p>
        </w:tc>
        <w:tc>
          <w:tcPr>
            <w:tcW w:type="dxa" w:w="161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0.273</w:t>
            </w:r>
          </w:p>
        </w:tc>
        <w:tc>
          <w:tcPr>
            <w:tcW w:type="dxa" w:w="161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0.306</w:t>
            </w:r>
          </w:p>
        </w:tc>
        <w:tc>
          <w:tcPr>
            <w:tcW w:type="dxa" w:w="15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5.621</w:t>
            </w:r>
          </w:p>
        </w:tc>
        <w:tc>
          <w:tcPr>
            <w:tcW w:type="dxa" w:w="15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8.458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14.658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Linux</w:t>
            </w:r>
          </w:p>
        </w:tc>
        <w:tc>
          <w:tcPr>
            <w:tcW w:type="dxa" w:w="161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0.382</w:t>
            </w:r>
          </w:p>
        </w:tc>
        <w:tc>
          <w:tcPr>
            <w:tcW w:type="dxa" w:w="161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0.499</w:t>
            </w:r>
          </w:p>
        </w:tc>
        <w:tc>
          <w:tcPr>
            <w:tcW w:type="dxa" w:w="15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0.093</w:t>
            </w:r>
          </w:p>
        </w:tc>
        <w:tc>
          <w:tcPr>
            <w:tcW w:type="dxa" w:w="15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0.264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1.238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F5</w:t>
            </w:r>
          </w:p>
        </w:tc>
        <w:tc>
          <w:tcPr>
            <w:tcW w:type="dxa" w:w="161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0.132</w:t>
            </w:r>
          </w:p>
        </w:tc>
        <w:tc>
          <w:tcPr>
            <w:tcW w:type="dxa" w:w="161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0.171</w:t>
            </w:r>
          </w:p>
        </w:tc>
        <w:tc>
          <w:tcPr>
            <w:tcW w:type="dxa" w:w="15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0.026</w:t>
            </w:r>
          </w:p>
        </w:tc>
        <w:tc>
          <w:tcPr>
            <w:tcW w:type="dxa" w:w="15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0.047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0.376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L3 Switch</w:t>
            </w:r>
          </w:p>
        </w:tc>
        <w:tc>
          <w:tcPr>
            <w:tcW w:type="dxa" w:w="161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0.178</w:t>
            </w:r>
          </w:p>
        </w:tc>
        <w:tc>
          <w:tcPr>
            <w:tcW w:type="dxa" w:w="161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0.126</w:t>
            </w:r>
          </w:p>
        </w:tc>
        <w:tc>
          <w:tcPr>
            <w:tcW w:type="dxa" w:w="15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0.282</w:t>
            </w:r>
          </w:p>
        </w:tc>
        <w:tc>
          <w:tcPr>
            <w:tcW w:type="dxa" w:w="15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0.479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1.065</w:t>
            </w:r>
          </w:p>
        </w:tc>
      </w:tr>
    </w:tbl>
    <w:p>
      <w:pPr>
        <w:spacing w:after="120"/>
      </w:pPr>
      <w:r>
        <w:rPr>
          <w:rFonts w:ascii="Arial" w:hAnsi="Arial" w:eastAsia="Microsoft YaHei"/>
          <w:color w:val="000000"/>
        </w:rPr>
      </w:r>
      <w:r>
        <w:rPr>
          <w:rFonts w:ascii="Arial" w:hAnsi="Arial" w:eastAsia="Microsoft YaHei"/>
          <w:color w:val="000000"/>
          <w:sz w:val="19"/>
        </w:rPr>
        <w:t>官方依据：</w:t>
      </w:r>
      <w:hyperlink r:id="rId10">
        <w:r>
          <w:rPr>
            <w:rFonts w:ascii="Arial" w:hAnsi="Arial" w:eastAsia="Microsoft YaHei"/>
            <w:color w:val="444444"/>
            <w:sz w:val="19"/>
            <w:u w:val="single"/>
          </w:rPr>
          <w:t>[S2] 官方文档</w:t>
        </w:r>
      </w:hyperlink>
      <w:r>
        <w:rPr>
          <w:rFonts w:ascii="Arial" w:hAnsi="Arial" w:eastAsia="Microsoft YaHei"/>
          <w:color w:val="000000"/>
          <w:sz w:val="19"/>
        </w:rPr>
        <w:t>；Table 3 的 Update 行及表格下方 Note。</w:t>
      </w:r>
    </w:p>
    <w:p>
      <w:pPr>
        <w:spacing w:after="100"/>
      </w:pPr>
      <w:r>
        <w:rPr>
          <w:rFonts w:ascii="Arial" w:hAnsi="Arial" w:eastAsia="Microsoft YaHei"/>
          <w:color w:val="000000"/>
        </w:rPr>
        <w:t>仅计算 MID 与 Instance 的双向通信，合计为：Windows Server 0.579、Linux 0.881、F5 0.303、L3 Switch 0.304 MB/台/次。这些合计由官方两个方向数值相加得到，不是独立测量的每日流量。</w:t>
      </w:r>
    </w:p>
    <w:p>
      <w:pPr>
        <w:spacing w:after="100"/>
      </w:pPr>
      <w:r>
        <w:rPr>
          <w:rFonts w:ascii="Arial" w:hAnsi="Arial" w:eastAsia="Microsoft YaHei"/>
          <w:color w:val="000000"/>
          <w:sz w:val="19"/>
        </w:rPr>
        <w:t>官方注明：示例采用基础运行配置，实际环境结果可能不同。按次数据不能覆盖 MID 全天常驻通信，也不能将四方向合计全部当作互联网出口流量。</w:t>
      </w:r>
    </w:p>
    <w:p>
      <w:r>
        <w:br w:type="page"/>
      </w:r>
    </w:p>
    <w:p>
      <w:pPr>
        <w:pStyle w:val="Heading1"/>
        <w:spacing w:after="100"/>
      </w:pPr>
      <w:r>
        <w:rPr>
          <w:rFonts w:ascii="Arial" w:hAnsi="Arial" w:eastAsia="Microsoft YaHei"/>
          <w:color w:val="000000"/>
        </w:rPr>
        <w:t>3 MID 常驻通信参考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2948"/>
        <w:gridCol w:w="4819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7E7E7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7E7E7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官方默认值或机制</w:t>
            </w:r>
          </w:p>
        </w:tc>
        <w:tc>
          <w:tcPr>
            <w:tcW w:type="dxa" w:w="481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7E7E7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使用时注意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常规 ECC Queue 轮询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40 秒</w:t>
              <w:br/>
              <w:t>mid.poll.time</w:t>
            </w:r>
          </w:p>
        </w:tc>
        <w:tc>
          <w:tcPr>
            <w:tcW w:type="dxa" w:w="481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即使没有执行 Discovery，仍可能产生通信。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忙碌状态相关轮询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5 秒</w:t>
              <w:br/>
              <w:t>mid.poll.time.standard</w:t>
            </w:r>
          </w:p>
        </w:tc>
        <w:tc>
          <w:tcPr>
            <w:tcW w:type="dxa" w:w="481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官方触发条件涉及 MID 忙碌并收到非 Interactive 优先级的 AMB 消息。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AMB 连接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与 Instance 保持持久连接</w:t>
            </w:r>
          </w:p>
        </w:tc>
        <w:tc>
          <w:tcPr>
            <w:tcW w:type="dxa" w:w="481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不能仅按轮询次数换算 MB/日；仍需测量实际通信量。</w:t>
            </w:r>
          </w:p>
        </w:tc>
      </w:tr>
    </w:tbl>
    <w:p>
      <w:pPr>
        <w:spacing w:after="120"/>
      </w:pPr>
      <w:r>
        <w:rPr>
          <w:rFonts w:ascii="Arial" w:hAnsi="Arial" w:eastAsia="Microsoft YaHei"/>
          <w:color w:val="000000"/>
        </w:rPr>
      </w:r>
      <w:r>
        <w:rPr>
          <w:rFonts w:ascii="Arial" w:hAnsi="Arial" w:eastAsia="Microsoft YaHei"/>
          <w:color w:val="000000"/>
          <w:sz w:val="19"/>
        </w:rPr>
        <w:t>官方依据：</w:t>
      </w:r>
      <w:hyperlink r:id="rId11">
        <w:r>
          <w:rPr>
            <w:rFonts w:ascii="Arial" w:hAnsi="Arial" w:eastAsia="Microsoft YaHei"/>
            <w:color w:val="444444"/>
            <w:sz w:val="19"/>
            <w:u w:val="single"/>
          </w:rPr>
          <w:t>[S3] 官方文档</w:t>
        </w:r>
      </w:hyperlink>
      <w:r>
        <w:rPr>
          <w:rFonts w:ascii="Arial" w:hAnsi="Arial" w:eastAsia="Microsoft YaHei"/>
          <w:color w:val="000000"/>
          <w:sz w:val="19"/>
        </w:rPr>
        <w:t>；Asynchronous Message Bus。</w:t>
      </w:r>
    </w:p>
    <w:p>
      <w:pPr>
        <w:spacing w:after="100"/>
      </w:pPr>
      <w:r>
        <w:rPr>
          <w:rFonts w:ascii="Arial" w:hAnsi="Arial" w:eastAsia="Microsoft YaHei"/>
          <w:color w:val="000000"/>
        </w:rPr>
        <w:t>MID 日常通信量需结合工作负载测定。上述官方资料未给出可直接套用到所有部署的每台 MID 每日 MB 标准。</w:t>
      </w:r>
    </w:p>
    <w:p>
      <w:pPr>
        <w:pStyle w:val="Heading1"/>
        <w:spacing w:after="100"/>
      </w:pPr>
      <w:r>
        <w:rPr>
          <w:rFonts w:ascii="Arial" w:hAnsi="Arial" w:eastAsia="Microsoft YaHei"/>
          <w:color w:val="000000"/>
        </w:rPr>
        <w:t>4 Azure VM 流量指标口径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3572"/>
        <w:gridCol w:w="3515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7E7E7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7E7E7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官方定义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7E7E7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统计口径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Network In Total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VM 所有网卡接收的字节数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单位 Bytes；聚合方式 Total（Sum）。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Network Out Total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VM 所有网卡发送的字节数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单位 Bytes；聚合方式 Total（Sum）。</w:t>
            </w:r>
          </w:p>
        </w:tc>
      </w:tr>
    </w:tbl>
    <w:p>
      <w:pPr>
        <w:spacing w:after="120"/>
      </w:pPr>
      <w:r>
        <w:rPr>
          <w:rFonts w:ascii="Arial" w:hAnsi="Arial" w:eastAsia="Microsoft YaHei"/>
          <w:color w:val="000000"/>
        </w:rPr>
      </w:r>
      <w:r>
        <w:rPr>
          <w:rFonts w:ascii="Arial" w:hAnsi="Arial" w:eastAsia="Microsoft YaHei"/>
          <w:color w:val="000000"/>
          <w:sz w:val="19"/>
        </w:rPr>
        <w:t>官方依据：</w:t>
      </w:r>
      <w:hyperlink r:id="rId12">
        <w:r>
          <w:rPr>
            <w:rFonts w:ascii="Arial" w:hAnsi="Arial" w:eastAsia="Microsoft YaHei"/>
            <w:color w:val="444444"/>
            <w:sz w:val="19"/>
            <w:u w:val="single"/>
          </w:rPr>
          <w:t>[S4] 官方文档</w:t>
        </w:r>
      </w:hyperlink>
      <w:r>
        <w:rPr>
          <w:rFonts w:ascii="Arial" w:hAnsi="Arial" w:eastAsia="Microsoft YaHei"/>
          <w:color w:val="000000"/>
          <w:sz w:val="19"/>
        </w:rPr>
        <w:t>；对应指标行。</w:t>
      </w:r>
    </w:p>
    <w:p>
      <w:pPr>
        <w:spacing w:after="100"/>
      </w:pPr>
      <w:r>
        <w:rPr>
          <w:rFonts w:ascii="Arial" w:hAnsi="Arial" w:eastAsia="Microsoft YaHei"/>
          <w:color w:val="000000"/>
        </w:rPr>
        <w:t>Azure 的这两个指标不会自动区分 ACC/MID 与其他程序的流量。PoC 整机结果应与官方参考值分栏记录；判断专用通信量时，需区分 ACC 与 MID、MID 与 Instance 两条通信路径。</w:t>
      </w:r>
    </w:p>
    <w:p>
      <w:pPr>
        <w:pStyle w:val="Heading1"/>
        <w:spacing w:after="100"/>
      </w:pPr>
      <w:r>
        <w:rPr>
          <w:rFonts w:ascii="Arial" w:hAnsi="Arial" w:eastAsia="Microsoft YaHei"/>
          <w:color w:val="000000"/>
        </w:rPr>
        <w:t>5 汇报用结论</w:t>
      </w:r>
    </w:p>
    <w:p>
      <w:pPr>
        <w:spacing w:after="100"/>
      </w:pPr>
      <w:r>
        <w:rPr>
          <w:rFonts w:ascii="Arial" w:hAnsi="Arial" w:eastAsia="Microsoft YaHei"/>
          <w:color w:val="000000"/>
        </w:rPr>
        <w:t>官方资料提供了 ACC-VC 数据摄入量，以及特定 Pattern Discovery 场景的按次通信量示例。两者统计口径不同，均不能直接等同于 VM 整机每日流量。客户侧的日常通信量概算，应以正常运行条件下按通信路径分离的 PoC 实测结果为依据。</w:t>
      </w:r>
    </w:p>
    <w:p>
      <w:pPr>
        <w:pStyle w:val="Heading1"/>
        <w:spacing w:after="100"/>
      </w:pPr>
      <w:r>
        <w:rPr>
          <w:rFonts w:ascii="Arial" w:hAnsi="Arial" w:eastAsia="Microsoft YaHei"/>
          <w:color w:val="000000"/>
        </w:rPr>
        <w:t>6 官方资料入口</w:t>
      </w:r>
    </w:p>
    <w:p>
      <w:pPr>
        <w:spacing w:after="20"/>
      </w:pPr>
      <w:r>
        <w:rPr>
          <w:rFonts w:ascii="Arial" w:hAnsi="Arial" w:eastAsia="Microsoft YaHei"/>
          <w:color w:val="000000"/>
        </w:rPr>
      </w:r>
      <w:r>
        <w:rPr>
          <w:rFonts w:ascii="Arial" w:hAnsi="Arial" w:eastAsia="Microsoft YaHei"/>
          <w:b/>
          <w:color w:val="000000"/>
          <w:sz w:val="18"/>
        </w:rPr>
        <w:t xml:space="preserve">[S1] </w:t>
      </w:r>
      <w:hyperlink r:id="rId9">
        <w:r>
          <w:rPr>
            <w:rFonts w:ascii="Arial" w:hAnsi="Arial" w:eastAsia="Microsoft YaHei"/>
            <w:color w:val="444444"/>
            <w:sz w:val="18"/>
            <w:u w:val="single"/>
          </w:rPr>
          <w:t>Agent Client Collector for Visibility Content default checks and policies</w:t>
        </w:r>
      </w:hyperlink>
    </w:p>
    <w:p>
      <w:pPr>
        <w:spacing w:after="60"/>
      </w:pPr>
      <w:r>
        <w:rPr>
          <w:rFonts w:ascii="Arial" w:hAnsi="Arial" w:eastAsia="Microsoft YaHei"/>
          <w:color w:val="000000"/>
        </w:rPr>
      </w:r>
      <w:hyperlink r:id="rId9">
        <w:r>
          <w:rPr>
            <w:rFonts w:ascii="Arial" w:hAnsi="Arial" w:eastAsia="Microsoft YaHei"/>
            <w:color w:val="444444"/>
            <w:sz w:val="17"/>
            <w:u w:val="single"/>
          </w:rPr>
          <w:t>https://www.servicenow.com/docs/r/it-operations-management/agent-client-collector/acc-visibility-checks-policies.html</w:t>
        </w:r>
      </w:hyperlink>
    </w:p>
    <w:p>
      <w:pPr>
        <w:spacing w:after="20"/>
      </w:pPr>
      <w:r>
        <w:rPr>
          <w:rFonts w:ascii="Arial" w:hAnsi="Arial" w:eastAsia="Microsoft YaHei"/>
          <w:color w:val="000000"/>
        </w:rPr>
      </w:r>
      <w:r>
        <w:rPr>
          <w:rFonts w:ascii="Arial" w:hAnsi="Arial" w:eastAsia="Microsoft YaHei"/>
          <w:b/>
          <w:color w:val="000000"/>
          <w:sz w:val="18"/>
        </w:rPr>
        <w:t xml:space="preserve">[S2] </w:t>
      </w:r>
      <w:hyperlink r:id="rId10">
        <w:r>
          <w:rPr>
            <w:rFonts w:ascii="Arial" w:hAnsi="Arial" w:eastAsia="Microsoft YaHei"/>
            <w:color w:val="444444"/>
            <w:sz w:val="18"/>
            <w:u w:val="single"/>
          </w:rPr>
          <w:t>Discovery resource utilization</w:t>
        </w:r>
      </w:hyperlink>
    </w:p>
    <w:p>
      <w:pPr>
        <w:spacing w:after="60"/>
      </w:pPr>
      <w:r>
        <w:rPr>
          <w:rFonts w:ascii="Arial" w:hAnsi="Arial" w:eastAsia="Microsoft YaHei"/>
          <w:color w:val="000000"/>
        </w:rPr>
      </w:r>
      <w:hyperlink r:id="rId10">
        <w:r>
          <w:rPr>
            <w:rFonts w:ascii="Arial" w:hAnsi="Arial" w:eastAsia="Microsoft YaHei"/>
            <w:color w:val="444444"/>
            <w:sz w:val="17"/>
            <w:u w:val="single"/>
          </w:rPr>
          <w:t>https://www.servicenow.com/docs/r/it-operations-management/discovery/discovery-resource-utilization.html</w:t>
        </w:r>
      </w:hyperlink>
    </w:p>
    <w:p>
      <w:pPr>
        <w:spacing w:after="20"/>
      </w:pPr>
      <w:r>
        <w:rPr>
          <w:rFonts w:ascii="Arial" w:hAnsi="Arial" w:eastAsia="Microsoft YaHei"/>
          <w:color w:val="000000"/>
        </w:rPr>
      </w:r>
      <w:r>
        <w:rPr>
          <w:rFonts w:ascii="Arial" w:hAnsi="Arial" w:eastAsia="Microsoft YaHei"/>
          <w:b/>
          <w:color w:val="000000"/>
          <w:sz w:val="18"/>
        </w:rPr>
        <w:t xml:space="preserve">[S3] </w:t>
      </w:r>
      <w:hyperlink r:id="rId11">
        <w:r>
          <w:rPr>
            <w:rFonts w:ascii="Arial" w:hAnsi="Arial" w:eastAsia="Microsoft YaHei"/>
            <w:color w:val="444444"/>
            <w:sz w:val="18"/>
            <w:u w:val="single"/>
          </w:rPr>
          <w:t>MID Server ECC Queue</w:t>
        </w:r>
      </w:hyperlink>
    </w:p>
    <w:p>
      <w:pPr>
        <w:spacing w:after="60"/>
      </w:pPr>
      <w:r>
        <w:rPr>
          <w:rFonts w:ascii="Arial" w:hAnsi="Arial" w:eastAsia="Microsoft YaHei"/>
          <w:color w:val="000000"/>
        </w:rPr>
      </w:r>
      <w:hyperlink r:id="rId11">
        <w:r>
          <w:rPr>
            <w:rFonts w:ascii="Arial" w:hAnsi="Arial" w:eastAsia="Microsoft YaHei"/>
            <w:color w:val="444444"/>
            <w:sz w:val="17"/>
            <w:u w:val="single"/>
          </w:rPr>
          <w:t>https://www.servicenow.com/docs/r/servicenow-platform/mid-server/ecc-queue-mid-server.html</w:t>
        </w:r>
      </w:hyperlink>
    </w:p>
    <w:p>
      <w:pPr>
        <w:spacing w:after="20"/>
      </w:pPr>
      <w:r>
        <w:rPr>
          <w:rFonts w:ascii="Arial" w:hAnsi="Arial" w:eastAsia="Microsoft YaHei"/>
          <w:color w:val="000000"/>
        </w:rPr>
      </w:r>
      <w:r>
        <w:rPr>
          <w:rFonts w:ascii="Arial" w:hAnsi="Arial" w:eastAsia="Microsoft YaHei"/>
          <w:b/>
          <w:color w:val="000000"/>
          <w:sz w:val="18"/>
        </w:rPr>
        <w:t xml:space="preserve">[S4] </w:t>
      </w:r>
      <w:hyperlink r:id="rId12">
        <w:r>
          <w:rPr>
            <w:rFonts w:ascii="Arial" w:hAnsi="Arial" w:eastAsia="Microsoft YaHei"/>
            <w:color w:val="444444"/>
            <w:sz w:val="18"/>
            <w:u w:val="single"/>
          </w:rPr>
          <w:t>Monitoring data reference for Azure Virtual Machines</w:t>
        </w:r>
      </w:hyperlink>
    </w:p>
    <w:p>
      <w:pPr>
        <w:spacing w:after="60"/>
      </w:pPr>
      <w:r>
        <w:rPr>
          <w:rFonts w:ascii="Arial" w:hAnsi="Arial" w:eastAsia="Microsoft YaHei"/>
          <w:color w:val="000000"/>
        </w:rPr>
      </w:r>
      <w:hyperlink r:id="rId12">
        <w:r>
          <w:rPr>
            <w:rFonts w:ascii="Arial" w:hAnsi="Arial" w:eastAsia="Microsoft YaHei"/>
            <w:color w:val="444444"/>
            <w:sz w:val="17"/>
            <w:u w:val="single"/>
          </w:rPr>
          <w:t>https://learn.microsoft.com/en-us/azure/virtual-machines/monitor-vm-reference</w:t>
        </w:r>
      </w:hyperlink>
    </w:p>
    <w:sectPr w:rsidR="00FC693F" w:rsidRPr="0006063C" w:rsidSect="00034616">
      <w:footerReference w:type="default" r:id="rId13"/>
      <w:pgSz w:w="11906" w:h="16838"/>
      <w:pgMar w:top="964" w:right="1077" w:bottom="964" w:left="1077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66666"/>
        <w:sz w:val="18"/>
      </w:rPr>
      <w:t xml:space="preserve">第 </w:t>
    </w:r>
    <w:fldSimple w:instr="PAGE"/>
    <w:r>
      <w:rPr>
        <w:rFonts w:ascii="Arial" w:hAnsi="Arial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0"/>
      <w:outlineLvl w:val="0"/>
    </w:pPr>
    <w:rPr>
      <w:rFonts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rvicenow.com/docs/r/it-operations-management/agent-client-collector/acc-visibility-checks-policies.html" TargetMode="External"/><Relationship Id="rId10" Type="http://schemas.openxmlformats.org/officeDocument/2006/relationships/hyperlink" Target="https://www.servicenow.com/docs/r/it-operations-management/discovery/discovery-resource-utilization.html" TargetMode="External"/><Relationship Id="rId11" Type="http://schemas.openxmlformats.org/officeDocument/2006/relationships/hyperlink" Target="https://www.servicenow.com/docs/r/servicenow-platform/mid-server/ecc-queue-mid-server.html" TargetMode="External"/><Relationship Id="rId12" Type="http://schemas.openxmlformats.org/officeDocument/2006/relationships/hyperlink" Target="https://learn.microsoft.com/en-us/azure/virtual-machines/monitor-vm-reference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 与 MID Server 日常通信量官方参考资料</dc:title>
  <dc:subject>官方数值、适用条件与测量口径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