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这份针对 ServiceNow 影子资产与基础设施发现的深度调研报告，融合了这两天的底层解剖与闭环验证成果，从配置、凭据、数据流向及落盘表结构进行了全方位的对比。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 核心资产发现流派基准对比报告：ACC vs MECM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第一部分：核心机制与认证情报需求对比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无论是“特种兵”模式的 ACC，还是“搬运工”模式的 MECM，其数据采集链路对网络和权限的要求截然不同。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评估维度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 代理流派 (Push 模式)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MECM 集成流派 (Pull 模式)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工作原理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目标主机主动向上汇报本机硬件及运行指标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ServiceNow 直接连接第三方数据库批量拉取账本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目标机认证情报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必须具备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：部署 Agent 时需目标机的本地管理员/root 权限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完全不需要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：零触碰终端，无需目标主机的任何账号密码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ServiceNow 侧凭据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无需储密码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：仅需生成一组全局共享的 API Key 供代理注册鉴权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必须配置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：需配置 MECM 后台 SQL Server 数据库的只读账号及密码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网络端口要求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目标主机出站访问内网 MID Server (默认 8043 或标准 WSS 443 端口)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内网 MID Server 访问 MECM SQL 数据库 (标准 JDBC 1433 端口)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架构防火墙开销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需确保全网所有网段的终端均能出站连接至 MID Server 或负载均衡器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仅需打通 MID Server 到单台核心 SQL Server 数据库的防火墙策略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第二部分：标准化安装与配置手顺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以下是两种方案从零到一打通数据链路的标准执行步骤。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 核心配置与部署手顺 (Agent Client Collector)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平台基建安装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ServiceNow 实例的 Plugins 模块中，安装底座 ACC-F (Framework) 与资产发现主模块 ACC-V (Visibility)。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监听端口配置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：进入 MID Server 配置界面，启用并配置 MID Web Server 扩展，指定加密监听端口（PoC 默认 8043，生产建议 443）。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安全凭证生成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ServiceNow 中创建一个 Endpoint 配置，系统将自动生成一段专用的 WebSocket 加密 API Key。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代理静默部署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 ACC 安装包（MSI/RPM）推送至目标机器本地，执行安装脚本并注入上一步的 MID Server IP 与 API Key。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策略下发与激活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sn_agent_cmdb_ci_agent（代理状态表）确认代理上线 (Up) 后，ServiceNow 自动下发系统发现策略，代理立即开始深度扫描。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MECM 核心配置与拉取手顺 (Service Graph Connector)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专属插件安装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：避开控制类 Spoke 插件，精确搜索并安装数据集成专用插件 Service Graph Connector for Microsoft SCCM。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连接凭据配置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Connection &amp; Credential Aliases 模块，配置一条指向微软 SQL Server 数据库的 JDBC 连接，包含 IP、1433 端口及数据库只读用户凭据。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中转临时表准备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：系统自动生成数十张以 sn_sccm_integrate_ 开头的 Import Set Tables（临时导入表），用以安全接收原始脏数据。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数据抽取与测试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：进入 Data Sources 模块，利用官方预设的 SQL 语句（多表 LEFT JOIN）执行 Test Load，抽取少量数据验证数据库连通性。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RTE 映射与调度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IntegrationHub ETL 界面中确认字段清洗与转换规则，激活映射并设置每日/每周的自动化定时调度任务 (Scheduled Imports)。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第三部分：CMDB 底层数据落盘与更新机制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：尽管数据来源完全不同，但两者最终写入的 ServiceNow CMDB 底层表是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完全一致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的。这得益于平台极其严格的数据标准化架构。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核心写入与更新的目标表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无论使用哪种方案，经过解析的硬件与软件数据最终都将落盘并更新以下核心基准表：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cmdb_ci_win_server / cmdb_ci_linux_server (主机基础信息表：主机名、操作系统、CPU 核数、内存容量)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cmdb_ci_network_adapter (网卡表：MAC 地址、网卡名称)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cmdb_ci_ip_address (IP 地址表：关联至具体网卡)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cmdb_ci_disk (磁盘存储表：C盘/D盘容量与使用率)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cmdb_serial_number (硬件指纹表：BIOS 序列号、UUID 序列号，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这是防重合并的核心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cmdb_software_instance (软件实例表：机器上安装的所有应用及版本号)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数据处理与防重引擎 (Data Lineage &amp; Deduplication)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降维机制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：探针将极其详尽的 JSON 格式扫描报告发送至平台，由云端的 Discovery Patterns（发现模式）直接解析并映射至对应表。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降维机制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 JDBC 拉回的单行扁平化 SQL 数据集，必须先进入临时表，随后被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RTE (Robust Transform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进行“一拖多 (1-to-N)”的立体切割，分发至上述多张 CI 表中。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统一防重阀门 (IRE)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：两条线路的数据在真正写入前，都会被强制送入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IRE (识别与核对引擎)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。IRE 会提取记录中的 BIOS 或 UUID。只要 shadowvm 的底层硬件序列号未变，即使两套系统同时上报，系统也只会执行 Update（更新），绝对不会引发数据双重计算或冗余。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第四部分：企业级架构师选型建议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在真实的 IT 战略规划中，这两种技术流派并非互斥关系，而是高度互补的组合拳。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对比维度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 代理流派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MECM 集成流派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部署与运维成本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较高。需跨部门协调逐台下发安装包，并监控 Agent 存活状态。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极低。对接一次数据库即可纳管成千上万台存量资产。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发现深度与实时性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极佳。除了静态资产，还能实时监控 CPU 飙升、服务宕机及日志采集。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一般。数据存在滞后性，完全取决于微软 SCCM 客户端自身的扫描周期。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跨平台支持能力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优秀。提供 Linux、macOS 甚至容器环境的原生支持方案。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极差。绝大部分功能仅限于 Windows 生态资产体系。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最佳落地应用场景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核心业务服务器集群、云端虚拟机、高安全隔离区及非 Windows 机器。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存量极其庞大的企业办公网 PC、传统的 Windows 农场与旧终端。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