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Frontier Graph Machine Learning Architectures in Quantitative Finance: A Comprehensive Review (2024–2026)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intersection of quantitative finance and artificial intelligence has entered a transformative epoch, driven by the rapid maturation and deployment of advanced graph-based machine learning architectures. Traditional financial modeling—historically reliant on tabular time-series analysis, static relational databases, and Euclidean geometric assumptions—is fundamentally ill-equipped to process the highly interconnected, continuously evolving, and profoundly non-Euclidean nature of modern financial systems. Between the years 2024 and 2026, the academic literature and industrial application domains have demonstrated a decisive paradigm shift. The field has moved away from isolated, homogeneous data representations and toward advanced topological, temporal, and multimodal graph architectures capable of natively ingesting the complex, asynchronous reality of global capital markets.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comprehensive research report synthesizes the state-of-the-art across three critical frontiers in financial graph machine learning, detailing the theoretical breakthroughs, mathematical mechanisms, and empirical validations that define the current landscape. First, the domain of Anti-Money Laundering (AML) and financial fraud detection has transcended the limitations of static Graph Neural Networks (GNNs), pivoting definitively toward Continuous-Time Dynamic Graphs (CTDGs) and lightweight State Space Models (SSMs). Architectures such as Graph-Mamba are redefining high-frequency transaction monitoring by achieving linear computational complexity. This allows for the real-time detection of complex, multi-hop illicit structuring techniques (such as "smurfing" or decentralized finance obfuscation) that traditional static systems completely fail to identify. The integration of federated contrastive learning further allows cross-institutional collaboration without violating data privacy regulations.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 the integration of Large Language Models (LLMs) into high-stakes financial workflows has necessitated the rapid development of Financial Graph Retrieval-Augmented Generation (GraphRAG) systems. While LLMs offer unprecedented capabilities in processing unstructured text, their tendency to hallucinate numerical facts and relationships renders them dangerous in quantitative environments. By embedding LLMs within the deterministic, ground-truth constraints of Financial Knowledge Graphs (KGs), these novel frameworks eradicate algorithmic hallucinations. Systems like StructRAG and Knowledge Augmented Generation (KAG) dynamically organize scattered information into optimal topological structures, enabling highly accurate, multi-hop predictive reporting over complex supply chains, corporate governance structures, and macroeconomic indicators.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Third, the prediction of market movements, volatility forecasting, and systemic contagion risk has aggressively embraced Topological Deep Learning (TDL) and Hypergraph Neural Networks. By mathematically modeling the stock market as a multidimensional, non-Euclidean space using algebraic topology, these algorithms detect hidden contagion risks and structural market reorganizations based on the geometric shape of financial networks. This detection occurs long before traditional univariate indicators or linear factor models can register instability. This report exhaustively details these overarching innovations, their exact mathematical underpinnings, their empirical benchmark performances on standardized datasets, and the theoretical voids that present highly lucrative opportunities for future algorithmic development.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Deep-Dive Synthesis: Dynamic and Temporal Graphs for Fraud &amp; Anti-Money Laundering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Temporal Imperative in Financial Crime Detection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Financial crime, particularly multi-jurisdictional money laundering, does not occur in a temporal vacuum. Illicit actors utilize advanced structuring techniques to evade detection algorithms that rely on simple volume thresholds. A common technique is "smurfing," wherein large sums of illicit capital are broken down into hundreds of micro-transactions, executed across synthetic accounts or decentralized blockchain wallets within milliseconds, specifically to evade the reporting thresholds established by global banking regulators.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Historically, financial institutions deployed rules-based engines or static GNNs to detect these anomalies. However, static GNNs aggregate spatial neighborhoods without respect to the strict chronological sequence of edges, leading to severe structural information loss.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If Node A transfers funds to Node B at time </w:t>
      </w:r>
      <w:r w:rsidDel="00000000" w:rsidR="00000000" w:rsidRPr="00000000">
        <w:rPr>
          <w:rFonts w:ascii="Google Sans" w:cs="Google Sans" w:eastAsia="Google Sans" w:hAnsi="Google Sans"/>
        </w:rPr>
        <w:drawing>
          <wp:inline distB="19050" distT="19050" distL="19050" distR="19050">
            <wp:extent cx="140345" cy="224552"/>
            <wp:effectExtent b="0" l="0" r="0" t="0"/>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40345" cy="224552"/>
                    </a:xfrm>
                    <a:prstGeom prst="rect"/>
                    <a:ln/>
                  </pic:spPr>
                </pic:pic>
              </a:graphicData>
            </a:graphic>
          </wp:inline>
        </w:drawing>
      </w:r>
      <w:r w:rsidDel="00000000" w:rsidR="00000000" w:rsidRPr="00000000">
        <w:rPr>
          <w:rFonts w:ascii="Google Sans" w:cs="Google Sans" w:eastAsia="Google Sans" w:hAnsi="Google Sans"/>
          <w:rtl w:val="0"/>
        </w:rPr>
        <w:t xml:space="preserve">, and Node B transfers to Node C at time </w:t>
      </w:r>
      <w:r w:rsidDel="00000000" w:rsidR="00000000" w:rsidRPr="00000000">
        <w:rPr>
          <w:rFonts w:ascii="Google Sans" w:cs="Google Sans" w:eastAsia="Google Sans" w:hAnsi="Google Sans"/>
        </w:rPr>
        <w:drawing>
          <wp:inline distB="19050" distT="19050" distL="19050" distR="19050">
            <wp:extent cx="140345" cy="224552"/>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40345" cy="224552"/>
                    </a:xfrm>
                    <a:prstGeom prst="rect"/>
                    <a:ln/>
                  </pic:spPr>
                </pic:pic>
              </a:graphicData>
            </a:graphic>
          </wp:inline>
        </w:drawing>
      </w:r>
      <w:r w:rsidDel="00000000" w:rsidR="00000000" w:rsidRPr="00000000">
        <w:rPr>
          <w:rFonts w:ascii="Google Sans" w:cs="Google Sans" w:eastAsia="Google Sans" w:hAnsi="Google Sans"/>
          <w:rtl w:val="0"/>
        </w:rPr>
        <w:t xml:space="preserve">, a distinct causal pathway exists. If the timestamps are reversed, the pathway is physically impossible. Static GNNs collapse these temporal dimensions into a single adjacency matrix, inadvertently creating false paths, generating high false-positive rates, and fundamentally failing to trace the true chronological flow of illicit capital.</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capture the exact sequence of financial events, the field has rapidly adopted Continuous-Time Dynamic Graphs (CTDGs).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a CTDG framework, a financial network is represented not as a static snapshot, but as an initial state of nodes (accounts or individuals) and an asynchronous stream of timestamped events (transactions, account updates, or login attempts). Mathematically, a transaction between a source node </w:t>
      </w:r>
      <w:r w:rsidDel="00000000" w:rsidR="00000000" w:rsidRPr="00000000">
        <w:rPr>
          <w:rFonts w:ascii="Google Sans" w:cs="Google Sans" w:eastAsia="Google Sans" w:hAnsi="Google Sans"/>
        </w:rPr>
        <w:drawing>
          <wp:inline distB="19050" distT="19050" distL="19050" distR="19050">
            <wp:extent cx="105519" cy="230224"/>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05519" cy="230224"/>
                    </a:xfrm>
                    <a:prstGeom prst="rect"/>
                    <a:ln/>
                  </pic:spPr>
                </pic:pic>
              </a:graphicData>
            </a:graphic>
          </wp:inline>
        </w:drawing>
      </w:r>
      <w:r w:rsidDel="00000000" w:rsidR="00000000" w:rsidRPr="00000000">
        <w:rPr>
          <w:rFonts w:ascii="Google Sans" w:cs="Google Sans" w:eastAsia="Google Sans" w:hAnsi="Google Sans"/>
          <w:rtl w:val="0"/>
        </w:rPr>
        <w:t xml:space="preserve"> and a destination node </w:t>
      </w:r>
      <w:r w:rsidDel="00000000" w:rsidR="00000000" w:rsidRPr="00000000">
        <w:rPr>
          <w:rFonts w:ascii="Google Sans" w:cs="Google Sans" w:eastAsia="Google Sans" w:hAnsi="Google Sans"/>
        </w:rPr>
        <w:drawing>
          <wp:inline distB="19050" distT="19050" distL="19050" distR="19050">
            <wp:extent cx="95994" cy="230386"/>
            <wp:effectExtent b="0" l="0" r="0" t="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95994" cy="230386"/>
                    </a:xfrm>
                    <a:prstGeom prst="rect"/>
                    <a:ln/>
                  </pic:spPr>
                </pic:pic>
              </a:graphicData>
            </a:graphic>
          </wp:inline>
        </w:drawing>
      </w:r>
      <w:r w:rsidDel="00000000" w:rsidR="00000000" w:rsidRPr="00000000">
        <w:rPr>
          <w:rFonts w:ascii="Google Sans" w:cs="Google Sans" w:eastAsia="Google Sans" w:hAnsi="Google Sans"/>
          <w:rtl w:val="0"/>
        </w:rPr>
        <w:t xml:space="preserve"> at time </w:t>
      </w:r>
      <w:r w:rsidDel="00000000" w:rsidR="00000000" w:rsidRPr="00000000">
        <w:rPr>
          <w:rFonts w:ascii="Google Sans" w:cs="Google Sans" w:eastAsia="Google Sans" w:hAnsi="Google Sans"/>
        </w:rPr>
        <w:drawing>
          <wp:inline distB="19050" distT="19050" distL="19050" distR="19050">
            <wp:extent cx="66675" cy="228600"/>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rtl w:val="0"/>
        </w:rPr>
        <w:t xml:space="preserve"> with a specific set of transactional features </w:t>
      </w:r>
      <w:r w:rsidDel="00000000" w:rsidR="00000000" w:rsidRPr="00000000">
        <w:rPr>
          <w:rFonts w:ascii="Google Sans" w:cs="Google Sans" w:eastAsia="Google Sans" w:hAnsi="Google Sans"/>
        </w:rPr>
        <w:drawing>
          <wp:inline distB="19050" distT="19050" distL="19050" distR="19050">
            <wp:extent cx="86023" cy="229394"/>
            <wp:effectExtent b="0" l="0" r="0" t="0"/>
            <wp:docPr id="1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86023" cy="229394"/>
                    </a:xfrm>
                    <a:prstGeom prst="rect"/>
                    <a:ln/>
                  </pic:spPr>
                </pic:pic>
              </a:graphicData>
            </a:graphic>
          </wp:inline>
        </w:drawing>
      </w:r>
      <w:r w:rsidDel="00000000" w:rsidR="00000000" w:rsidRPr="00000000">
        <w:rPr>
          <w:rFonts w:ascii="Google Sans" w:cs="Google Sans" w:eastAsia="Google Sans" w:hAnsi="Google Sans"/>
          <w:rtl w:val="0"/>
        </w:rPr>
        <w:t xml:space="preserve"> is strictly denoted as a temporal edge </w:t>
      </w:r>
      <w:r w:rsidDel="00000000" w:rsidR="00000000" w:rsidRPr="00000000">
        <w:rPr>
          <w:rFonts w:ascii="Google Sans" w:cs="Google Sans" w:eastAsia="Google Sans" w:hAnsi="Google Sans"/>
        </w:rPr>
        <w:drawing>
          <wp:inline distB="19050" distT="19050" distL="19050" distR="19050">
            <wp:extent cx="482054" cy="226849"/>
            <wp:effectExtent b="0" l="0" r="0" t="0"/>
            <wp:docPr id="1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82054" cy="226849"/>
                    </a:xfrm>
                    <a:prstGeom prst="rect"/>
                    <a:ln/>
                  </pic:spPr>
                </pic:pic>
              </a:graphicData>
            </a:graphic>
          </wp:inline>
        </w:drawing>
      </w:r>
      <w:r w:rsidDel="00000000" w:rsidR="00000000" w:rsidRPr="00000000">
        <w:rPr>
          <w:rFonts w:ascii="Google Sans" w:cs="Google Sans" w:eastAsia="Google Sans" w:hAnsi="Google Sans"/>
          <w:rtl w:val="0"/>
        </w:rPr>
        <w:t xml:space="preserve">. Modern CTDG architectures utilize temporal memory modules to maintain stateful representations of nodes that update continuously in real-time. When an interaction occurs, the memory of both the sender and the receiver is updated using a recurrent neural architecture. However, traditional recurrent approaches, such as Long Short-Term Memory (LSTM) networks or temporal attention mechanisms found in Transformers, suffer from severe scaling limitations. Specifically, standard temporal attention mechanisms exhibit quadratic computational complexity </w:t>
      </w:r>
      <w:r w:rsidDel="00000000" w:rsidR="00000000" w:rsidRPr="00000000">
        <w:rPr>
          <w:rFonts w:ascii="Google Sans" w:cs="Google Sans" w:eastAsia="Google Sans" w:hAnsi="Google Sans"/>
        </w:rPr>
        <w:drawing>
          <wp:inline distB="19050" distT="19050" distL="19050" distR="19050">
            <wp:extent cx="537270" cy="239852"/>
            <wp:effectExtent b="0" l="0" r="0" t="0"/>
            <wp:docPr id="2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7270" cy="239852"/>
                    </a:xfrm>
                    <a:prstGeom prst="rect"/>
                    <a:ln/>
                  </pic:spPr>
                </pic:pic>
              </a:graphicData>
            </a:graphic>
          </wp:inline>
        </w:drawing>
      </w:r>
      <w:r w:rsidDel="00000000" w:rsidR="00000000" w:rsidRPr="00000000">
        <w:rPr>
          <w:rFonts w:ascii="Google Sans" w:cs="Google Sans" w:eastAsia="Google Sans" w:hAnsi="Google Sans"/>
          <w:rtl w:val="0"/>
        </w:rPr>
        <w:t xml:space="preserve"> with respect to the sequence length, rendering them computationally prohibitive for high-frequency trading networks where the localized topology changes every millisecond.</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State Space Model (SSM) and Graph-Mamba Revolution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profound architectural breakthrough in high-frequency temporal graph processing between 2024 and 2026 has been the integration of State Space Models (SSMs)—specifically the Mamba architecture—into graph representation learning.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SAMBA (State-space Mamba with Graph Neural Networks) architecture, introduced in the proceedings of ICASSP 2025, perfectly exemplifies this shift.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SAMBA and its derivative Graph-Mamba models completely resolve the scalability crisis of Temporal Graph Transformers by operating with near-linear computational complexity </w:t>
      </w:r>
      <w:r w:rsidDel="00000000" w:rsidR="00000000" w:rsidRPr="00000000">
        <w:rPr>
          <w:rFonts w:ascii="Google Sans" w:cs="Google Sans" w:eastAsia="Google Sans" w:hAnsi="Google Sans"/>
        </w:rPr>
        <w:drawing>
          <wp:inline distB="19050" distT="19050" distL="19050" distR="19050">
            <wp:extent cx="931515" cy="237631"/>
            <wp:effectExtent b="0" l="0" r="0" t="0"/>
            <wp:docPr id="1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931515" cy="237631"/>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core mathematical mechanism of Graph-Mamba relies on the continuous-time State Space Model, which maps a one-dimensional input sequence </w:t>
      </w:r>
      <w:r w:rsidDel="00000000" w:rsidR="00000000" w:rsidRPr="00000000">
        <w:rPr>
          <w:rFonts w:ascii="Google Sans" w:cs="Google Sans" w:eastAsia="Google Sans" w:hAnsi="Google Sans"/>
        </w:rPr>
        <w:drawing>
          <wp:inline distB="19050" distT="19050" distL="19050" distR="19050">
            <wp:extent cx="674489" cy="227996"/>
            <wp:effectExtent b="0" l="0" r="0" t="0"/>
            <wp:docPr id="2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74489" cy="227996"/>
                    </a:xfrm>
                    <a:prstGeom prst="rect"/>
                    <a:ln/>
                  </pic:spPr>
                </pic:pic>
              </a:graphicData>
            </a:graphic>
          </wp:inline>
        </w:drawing>
      </w:r>
      <w:r w:rsidDel="00000000" w:rsidR="00000000" w:rsidRPr="00000000">
        <w:rPr>
          <w:rFonts w:ascii="Google Sans" w:cs="Google Sans" w:eastAsia="Google Sans" w:hAnsi="Google Sans"/>
          <w:rtl w:val="0"/>
        </w:rPr>
        <w:t xml:space="preserve"> to an output sequence </w:t>
      </w:r>
      <w:r w:rsidDel="00000000" w:rsidR="00000000" w:rsidRPr="00000000">
        <w:rPr>
          <w:rFonts w:ascii="Google Sans" w:cs="Google Sans" w:eastAsia="Google Sans" w:hAnsi="Google Sans"/>
        </w:rPr>
        <w:drawing>
          <wp:inline distB="19050" distT="19050" distL="19050" distR="19050">
            <wp:extent cx="665857" cy="228294"/>
            <wp:effectExtent b="0" l="0" r="0" t="0"/>
            <wp:docPr id="2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65857" cy="228294"/>
                    </a:xfrm>
                    <a:prstGeom prst="rect"/>
                    <a:ln/>
                  </pic:spPr>
                </pic:pic>
              </a:graphicData>
            </a:graphic>
          </wp:inline>
        </w:drawing>
      </w:r>
      <w:r w:rsidDel="00000000" w:rsidR="00000000" w:rsidRPr="00000000">
        <w:rPr>
          <w:rFonts w:ascii="Google Sans" w:cs="Google Sans" w:eastAsia="Google Sans" w:hAnsi="Google Sans"/>
          <w:rtl w:val="0"/>
        </w:rPr>
        <w:t xml:space="preserve"> via a latent state representation </w:t>
      </w:r>
      <w:r w:rsidDel="00000000" w:rsidR="00000000" w:rsidRPr="00000000">
        <w:rPr>
          <w:rFonts w:ascii="Google Sans" w:cs="Google Sans" w:eastAsia="Google Sans" w:hAnsi="Google Sans"/>
        </w:rPr>
        <w:drawing>
          <wp:inline distB="19050" distT="19050" distL="19050" distR="19050">
            <wp:extent cx="802035" cy="229153"/>
            <wp:effectExtent b="0" l="0" r="0" t="0"/>
            <wp:docPr id="23"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802035" cy="229153"/>
                    </a:xfrm>
                    <a:prstGeom prst="rect"/>
                    <a:ln/>
                  </pic:spPr>
                </pic:pic>
              </a:graphicData>
            </a:graphic>
          </wp:inline>
        </w:drawing>
      </w:r>
      <w:r w:rsidDel="00000000" w:rsidR="00000000" w:rsidRPr="00000000">
        <w:rPr>
          <w:rFonts w:ascii="Google Sans" w:cs="Google Sans" w:eastAsia="Google Sans" w:hAnsi="Google Sans"/>
          <w:rtl w:val="0"/>
        </w:rPr>
        <w:t xml:space="preserve">. This continuous relationship is defined by a system of linear ordinary differential equations (ODEs):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334000" cy="542925"/>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3340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334000" cy="542925"/>
            <wp:effectExtent b="0" l="0" r="0" t="0"/>
            <wp:docPr id="2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3340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160288" cy="226289"/>
            <wp:effectExtent b="0" l="0" r="0" t="0"/>
            <wp:docPr id="2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60288" cy="226289"/>
                    </a:xfrm>
                    <a:prstGeom prst="rect"/>
                    <a:ln/>
                  </pic:spPr>
                </pic:pic>
              </a:graphicData>
            </a:graphic>
          </wp:inline>
        </w:drawing>
      </w:r>
      <w:r w:rsidDel="00000000" w:rsidR="00000000" w:rsidRPr="00000000">
        <w:rPr>
          <w:rFonts w:ascii="Google Sans" w:cs="Google Sans" w:eastAsia="Google Sans" w:hAnsi="Google Sans"/>
          <w:rtl w:val="0"/>
        </w:rPr>
        <w:t xml:space="preserve"> represents the state evolution matrix, and </w:t>
      </w:r>
      <w:r w:rsidDel="00000000" w:rsidR="00000000" w:rsidRPr="00000000">
        <w:rPr>
          <w:rFonts w:ascii="Google Sans" w:cs="Google Sans" w:eastAsia="Google Sans" w:hAnsi="Google Sans"/>
        </w:rPr>
        <w:drawing>
          <wp:inline distB="19050" distT="19050" distL="19050" distR="19050">
            <wp:extent cx="150912" cy="226368"/>
            <wp:effectExtent b="0" l="0" r="0" t="0"/>
            <wp:docPr id="28"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150912" cy="226368"/>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53293" cy="229939"/>
            <wp:effectExtent b="0" l="0" r="0" t="0"/>
            <wp:docPr id="2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53293" cy="229939"/>
                    </a:xfrm>
                    <a:prstGeom prst="rect"/>
                    <a:ln/>
                  </pic:spPr>
                </pic:pic>
              </a:graphicData>
            </a:graphic>
          </wp:inline>
        </w:drawing>
      </w:r>
      <w:r w:rsidDel="00000000" w:rsidR="00000000" w:rsidRPr="00000000">
        <w:rPr>
          <w:rFonts w:ascii="Google Sans" w:cs="Google Sans" w:eastAsia="Google Sans" w:hAnsi="Google Sans"/>
          <w:rtl w:val="0"/>
        </w:rPr>
        <w:t xml:space="preserve"> are learnable projection parameters. To apply this continuous mathematics to discrete, event-based financial transaction sequences, the architecture discretizes these continuous parameters using a learned step size </w:t>
      </w:r>
      <w:r w:rsidDel="00000000" w:rsidR="00000000" w:rsidRPr="00000000">
        <w:rPr>
          <w:rFonts w:ascii="Google Sans" w:cs="Google Sans" w:eastAsia="Google Sans" w:hAnsi="Google Sans"/>
        </w:rPr>
        <w:drawing>
          <wp:inline distB="19050" distT="19050" distL="19050" distR="19050">
            <wp:extent cx="153739" cy="221000"/>
            <wp:effectExtent b="0" l="0" r="0" t="0"/>
            <wp:docPr id="30"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53739" cy="221000"/>
                    </a:xfrm>
                    <a:prstGeom prst="rect"/>
                    <a:ln/>
                  </pic:spPr>
                </pic:pic>
              </a:graphicData>
            </a:graphic>
          </wp:inline>
        </w:drawing>
      </w:r>
      <w:r w:rsidDel="00000000" w:rsidR="00000000" w:rsidRPr="00000000">
        <w:rPr>
          <w:rFonts w:ascii="Google Sans" w:cs="Google Sans" w:eastAsia="Google Sans" w:hAnsi="Google Sans"/>
          <w:rtl w:val="0"/>
        </w:rPr>
        <w:t xml:space="preserve">. This transforms the continuous ODE into a discrete recurrence relation capable of being computed efficiently on modern hardware: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334000" cy="533400"/>
            <wp:effectExtent b="0" l="0" r="0" t="0"/>
            <wp:docPr id="31"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3340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334000" cy="542925"/>
            <wp:effectExtent b="0" l="0" r="0" t="0"/>
            <wp:docPr id="3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3340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1145679" cy="229136"/>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145679" cy="229136"/>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2655094" cy="228395"/>
            <wp:effectExtent b="0" l="0" r="0" t="0"/>
            <wp:docPr id="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655094" cy="228395"/>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Crucially, Graph-Mamba introduces a </w:t>
      </w:r>
      <w:r w:rsidDel="00000000" w:rsidR="00000000" w:rsidRPr="00000000">
        <w:rPr>
          <w:rFonts w:ascii="Google Sans" w:cs="Google Sans" w:eastAsia="Google Sans" w:hAnsi="Google Sans"/>
          <w:i w:val="1"/>
          <w:iCs w:val="1"/>
          <w:rtl w:val="0"/>
        </w:rPr>
        <w:t xml:space="preserve">selective</w:t>
      </w:r>
      <w:r w:rsidDel="00000000" w:rsidR="00000000" w:rsidRPr="00000000">
        <w:rPr>
          <w:rFonts w:ascii="Google Sans" w:cs="Google Sans" w:eastAsia="Google Sans" w:hAnsi="Google Sans"/>
          <w:rtl w:val="0"/>
        </w:rPr>
        <w:t xml:space="preserve"> scan algorithm. In traditional LTI (Linear Time-Invariant) systems, the matrices </w:t>
      </w:r>
      <w:r w:rsidDel="00000000" w:rsidR="00000000" w:rsidRPr="00000000">
        <w:rPr>
          <w:rFonts w:ascii="Google Sans" w:cs="Google Sans" w:eastAsia="Google Sans" w:hAnsi="Google Sans"/>
        </w:rPr>
        <w:drawing>
          <wp:inline distB="19050" distT="19050" distL="19050" distR="19050">
            <wp:extent cx="444550" cy="227004"/>
            <wp:effectExtent b="0" l="0" r="0" t="0"/>
            <wp:docPr id="3"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44550" cy="227004"/>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53293" cy="229939"/>
            <wp:effectExtent b="0" l="0" r="0" t="0"/>
            <wp:docPr id="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53293" cy="229939"/>
                    </a:xfrm>
                    <a:prstGeom prst="rect"/>
                    <a:ln/>
                  </pic:spPr>
                </pic:pic>
              </a:graphicData>
            </a:graphic>
          </wp:inline>
        </w:drawing>
      </w:r>
      <w:r w:rsidDel="00000000" w:rsidR="00000000" w:rsidRPr="00000000">
        <w:rPr>
          <w:rFonts w:ascii="Google Sans" w:cs="Google Sans" w:eastAsia="Google Sans" w:hAnsi="Google Sans"/>
          <w:rtl w:val="0"/>
        </w:rPr>
        <w:t xml:space="preserve"> are fixed across the entire sequence. In the selective Mamba architecture, the parameters </w:t>
      </w:r>
      <w:r w:rsidDel="00000000" w:rsidR="00000000" w:rsidRPr="00000000">
        <w:rPr>
          <w:rFonts w:ascii="Google Sans" w:cs="Google Sans" w:eastAsia="Google Sans" w:hAnsi="Google Sans"/>
        </w:rPr>
        <w:drawing>
          <wp:inline distB="19050" distT="19050" distL="19050" distR="19050">
            <wp:extent cx="437555" cy="228289"/>
            <wp:effectExtent b="0" l="0" r="0" t="0"/>
            <wp:docPr id="5"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37555" cy="228289"/>
                    </a:xfrm>
                    <a:prstGeom prst="rect"/>
                    <a:ln/>
                  </pic:spPr>
                </pic:pic>
              </a:graphicData>
            </a:graphic>
          </wp:inline>
        </w:drawing>
      </w:r>
      <w:r w:rsidDel="00000000" w:rsidR="00000000" w:rsidRPr="00000000">
        <w:rPr>
          <w:rFonts w:ascii="Google Sans" w:cs="Google Sans" w:eastAsia="Google Sans" w:hAnsi="Google Sans"/>
          <w:rtl w:val="0"/>
        </w:rPr>
        <w:t xml:space="preserve"> and the step size </w:t>
      </w:r>
      <w:r w:rsidDel="00000000" w:rsidR="00000000" w:rsidRPr="00000000">
        <w:rPr>
          <w:rFonts w:ascii="Google Sans" w:cs="Google Sans" w:eastAsia="Google Sans" w:hAnsi="Google Sans"/>
        </w:rPr>
        <w:drawing>
          <wp:inline distB="19050" distT="19050" distL="19050" distR="19050">
            <wp:extent cx="153739" cy="221000"/>
            <wp:effectExtent b="0" l="0" r="0" t="0"/>
            <wp:docPr id="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53739" cy="221000"/>
                    </a:xfrm>
                    <a:prstGeom prst="rect"/>
                    <a:ln/>
                  </pic:spPr>
                </pic:pic>
              </a:graphicData>
            </a:graphic>
          </wp:inline>
        </w:drawing>
      </w:r>
      <w:r w:rsidDel="00000000" w:rsidR="00000000" w:rsidRPr="00000000">
        <w:rPr>
          <w:rFonts w:ascii="Google Sans" w:cs="Google Sans" w:eastAsia="Google Sans" w:hAnsi="Google Sans"/>
          <w:rtl w:val="0"/>
        </w:rPr>
        <w:t xml:space="preserve"> are input-dependent. In the context of AML detection, this allows the neural network to selectively remember highly suspicious, coordinated micro-transactions while rapidly forgetting irrelevant, benign retail purchases.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Furthermore, models like SAMBA utilize a Bidirectional Mamba (BI-Mamba) block alongside Adaptive Graph Convolution (AGC) layers utilizing Chebyshev polynomials. This hybrid design captures both forward and backward temporal dependencies across the financial network, enabling the real-time detection of complex laundering rings that obfuscate their activities across time and space.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Federated Learning and Contrastive Dynamics in Financial Crime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raw temporal processing is critical, real-world AML efforts are severely hampered by data privacy regulations, such as the EU AI Act and GDPR, which restrict the sharing of sensitive transaction graphs between competing financial institutions.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criminals exploit this fragmentation by laundering money across multiple banks, knowing no single institution has visibility over the entire topological subgraph. To solve this, the literature has pioneered Federated Continual Contrastive Learning on dynamic graphs.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FC2L (Federated Continual Contrastive Learning) framework introduces a memory-free mechanism for cross-institutional edge-level AML detection.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FC2L utilizes a Column-wise Adaptive Balanced Orthogonal Projection (ACOP) mechanism that exploits direction-wise feature correlations to preserve task-relevant subspaces from past AML tasks while adapting to emerging fraud patterns. This allows banks to jointly train a temporal GNN on distributed subgraphs without ever exchanging raw transactional data.</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Complementing federated approaches, Contrastive Learning on Dynamic Graphs (CLDG) and Graph Contrastive Pre-training for AML (GCPAL) have emerged to address the severe scarcity of labeled money laundering data.</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highly imbalanced real-world scenarios, these contrastive frameworks mine supervised signals from label-free data by observing "temporal translation invariance"—the principle that in dynamic graphs, the latent representation of a specific node identity should remain consistent across varying temporal views, regardless of minor transactional perturbations.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Contextual Risk Profiling and Empirical Detection Benchmarks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Complementing the raw computational power of SSMs and contrastive learning, the Context-Risk-Predict AML (CRP-AML) framework, documented in the IEEE Internet of Things Journal in 2026, approaches the detection problem by structurally embedding domain-specific regulatory knowledge directly into the algorithmic pipeline.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CRP-AML integrates advanced graph learning with codified AML "red flags" established by regulatory bodies. It actively profiles customer behavior to create a dynamic expected baseline, mapping topological deviations not merely as statistical anomalies, but as contextually weighted risk indicators. When the proportion of actual money laundering records in a dataset drops to an extreme minority of 0.0005 (a highly realistic, massively imbalanced scenario in global banking operations), the CRP-AML model maintains robust performance, achieving an F1 score of 82.51% on the minority class.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effectively doubles the performance of baseline pattern detection models, representing a critical operational victory that significantly reduces the false-positive review burden on human compliance officers.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rigorous evaluation of these dynamic architectures relies on specialized, open-source financial datasets.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Benchmark Dataset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Structural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Temporal &amp; Topological Characteristics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AML Application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Elliptic++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200k+ nodes, 234k+ edges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Augments the original Elliptic dataset with exact time-step information, raw wallet addresses, and dynamic node features. Highly imbalanced bipartite 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Tracking illicit crypto-asset flows, ransomware payouts, and darknet market laundering via temporal graph convolutions.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DGraph-Fin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&gt;3 million nodes, &gt;4 million dynamic edges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Represents a massive, dynamic financial industry social network. Edges explicitly denote emergency contact relationships.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Detecting credit card fraud, loan default contagion, and synthetic identity rings in centralized fiat lending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T-Social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&gt;5 million nodes, &gt;20 million edges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Large-scale temporal social network with financial interactions. Includes timestamped interaction frequencies.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Unsupervised anomaly detection, monitoring decentralized lending protocols, and identifying collusive fraudster nodes.</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Architectures applied to the Elliptic++ dataset, such as the Bipartite Temporal Graph Neural Network (BTGM) variants, demonstrate that incorporating exact time-step data across bipartite structures allows models to achieve a Precision-Recall Area Under Curve (PRAUC) of 0.86 and an overall accuracy of 0.96, substantially outperforming static benchmarks and prior generative models.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Similarly, models tested on the massive DGraph-Fin dataset report Area Under the Receiver Operating Characteristic Curve (AUROC) and Average Precision (AP) improvements of 5 to 8 percentage points and 18 to 29 percentage points respectively when employing self-supervised temporal contrastive learning frameworks.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Deep-Dive Synthesis: Financial GraphRAG &amp; Knowledge Graphs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Epistemological Crisis of Generative Finance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rapid proliferation of Large Language Models (LLMs) has promised unprecedented analytical efficiency in financial markets, theoretically capable of synthesizing thousands of SEC 10-K filings, quarterly earnings call transcripts, and global macroeconomic news events instantaneously. However, quantitative financial analysts require strict, deterministic mathematical and factual accuracy. LLMs suffer from a fundamental epistemological flaw: they function as probabilistic autoregressive token predictors, not factual reasoning engines. In the highly sensitive financial domain, this probabilistic nature results in severe hallucinations—transposing critical revenue figures, inventing non-existent supply chain dependencies, and failing entirely at complex numerical inversions or multi-hop logical deductions.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 "truth crisis" heavily discussed at the NeurIPS 2025 conference—where LLMs generated completely fabricated academic citations (colloquially termed "vibe citations")—perfectly illustrates the existential risk of deploying unconstrained generative models in high-stakes environments like capital markets and pharmaceutical supply chains.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mitigate this catastrophic risk, the industry initially turned to standard Vector-based Retrieval-Augmented Generation (Vector RAG). Vector RAG retrieves text chunks from a database based on the mathematical semantic similarity of word embeddings. However, Vector RAG fails entirely at complex financial reasoning. If a portfolio manager queries a Vector RAG system about a cascading supply chain failure (e.g., "If a semiconductor fabrication plant in Taiwan goes offline due to a seismic event, which specific Apple tier-3 component suppliers face immediate liquidity crises?"), the system retrieves documents containing similar keywords but cannot traverse the multi-hop logical dependencies required to answer the question accurately.</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GraphRAG Paradigm and Knowledge Foundation Models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solve the limitations of semantic search, the field has aggressively transitioned to Graph Retrieval-Augmented Generation (GraphRAG). GraphRAG utilizes a heavily grounded, dense Financial Knowledge Graph (KG) as the ultimate deterministic constraint. Within this KG, entities (such as holding companies, executive officers, raw commodities, and macroeconomic indicators) exist as nodes, while their relationships (e.g., "supplies material to," "owns a controlling stake in," "is regulated by") are strictly typed edges. GraphRAG extracts these entities from raw unstructured financial text, builds a domain-specific graph, and employs hierarchical community detection algorithms—such as the Leiden algorithm—to group structurally related entities.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When an LLM generates a response, it is forced to traverse the explicit, mathematically verified topological paths of the KG. This unique architecture combines global thematic summarization with localized, precise fact retrieval. Case studies from Lettria Hybrid GraphRAG and enterprise deployments indicate that GraphRAG improves answer precision in financial document analysis by an average of 35% over vector baselines, while significantly reducing the token consumption required for context windows.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Addressing the scalability of these massive graphs, the RAG4GFM (Retrieval-Augmented Generation for Graph Foundation Models) framework, introduced at NeurIPS 2025, represents a significant leap forward.</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Graph Foundation Models (GFMs) possess massive representation capabilities but struggle with real-time knowledge updating. RAG4GFM bridges this gap by seamlessly integrating multi-level graph indexing, task-aware retrieval, and graph fusion enhancement. It implements a hierarchical graph indexing architecture that achieves efficient logarithmic-time retrieval.</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Crucially, the graph fusion enhancement module augments the foundational network topology with sparse adjacency links that preserve semantic proximity. This ensures that as global markets evolve daily, the underlying KG can ingest new financial news and entity relationships without requiring a computationally devastating parametric retraining of the entire foundation model.</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Simultaneously, the creation of the foundational KGs themselves has been streamlined by innovations like KGGen, also introduced at NeurIPS 2025.</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Historically, KGs required massive human annotation. KGGen acts as a novel text-to-knowledge-graph generator that leverages specialized LLMs to extract high-quality graphs from plain text, utilizing a novel entity resolution approach that aggressively clusters related entities to reduce network sparsity. The introduction of the MINE (Measure of Information in Nodes and Edges) benchmark provides the first standardized metric to test these automatic extractors' ability to produce mathematically useful graphs.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StructRAG: Inference-Time Hybrid Information Structurization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pinnacle advancement in this specific track is the StructRAG framework, presented at ICLR 2025.</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While earlier generations of GraphRAG models exclusively forced information into strict triplet formats (Subject-Predicate-Object), the authors of StructRAG recognized that different financial queries natively require different topological structures for optimal reasoning.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StructRAG operates via a highly sophisticated three-module pipeline </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Hybrid Structure Router:</w:t>
      </w:r>
      <w:r w:rsidDel="00000000" w:rsidR="00000000" w:rsidRPr="00000000">
        <w:rPr>
          <w:rFonts w:ascii="Google Sans" w:cs="Google Sans" w:eastAsia="Google Sans" w:hAnsi="Google Sans"/>
          <w:rtl w:val="0"/>
        </w:rPr>
        <w:t xml:space="preserve"> Given a complex financial query and a massive context window of scattered, unstructured documents, this module determines the optimal structural format to solve the problem (e.g., deciding whether to build a formal Graph, a structured Table, a Tree, or a Chunk Catalogue). Because human-annotated training data for such a routing task is virtually non-existent, the researchers trained a 7-Billion parameter LLM router using the Direct Preference Optimization (DPO) algorithm on a novel synthesized dataset.</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Scattered Knowledge Structurizer:</w:t>
      </w:r>
      <w:r w:rsidDel="00000000" w:rsidR="00000000" w:rsidRPr="00000000">
        <w:rPr>
          <w:rFonts w:ascii="Google Sans" w:cs="Google Sans" w:eastAsia="Google Sans" w:hAnsi="Google Sans"/>
          <w:rtl w:val="0"/>
        </w:rPr>
        <w:t xml:space="preserve"> An LLM-based processing module that actively reads the noisy, unstructured financial reports and physically reconstructs the information into the exact mathematical structure mandated by the router, deliberately filtering out irrelevant noise and explicitly capturing latent interconnections.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Structured Knowledge Utilizer:</w:t>
      </w:r>
      <w:r w:rsidDel="00000000" w:rsidR="00000000" w:rsidRPr="00000000">
        <w:rPr>
          <w:rFonts w:ascii="Google Sans" w:cs="Google Sans" w:eastAsia="Google Sans" w:hAnsi="Google Sans"/>
          <w:rtl w:val="0"/>
        </w:rPr>
        <w:t xml:space="preserve"> This final deductive module takes the newly constructed, noise-free graph or table, decomposes the original complex user query into a sequence of simpler sub-queries, and executes multi-hop deduction across the data structure to yield a mathematically and logically sound financial conclusion.</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StructRAG was rigorously evaluated on the </w:t>
      </w:r>
      <w:r w:rsidDel="00000000" w:rsidR="00000000" w:rsidRPr="00000000">
        <w:rPr>
          <w:rFonts w:ascii="Google Sans" w:cs="Google Sans" w:eastAsia="Google Sans" w:hAnsi="Google Sans"/>
          <w:b w:val="1"/>
          <w:bCs w:val="1"/>
          <w:rtl w:val="0"/>
        </w:rPr>
        <w:t xml:space="preserve">Loong Benchmark</w:t>
      </w:r>
      <w:r w:rsidDel="00000000" w:rsidR="00000000" w:rsidRPr="00000000">
        <w:rPr>
          <w:rFonts w:ascii="Google Sans" w:cs="Google Sans" w:eastAsia="Google Sans" w:hAnsi="Google Sans"/>
          <w:rtl w:val="0"/>
        </w:rPr>
        <w:t xml:space="preserve">, a massive dataset specifically engineered for Extended Multi-Document Question Answering.</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Loong contains deeply complex real-world scenarios spanning Financial Reports, Legal Cases, and Academic Papers, with token lengths scaling from 10,000 to over 250,000 tokens per instance.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Against this benchmark, which assesses models on Spotlight Locating, Cross-Document Comparison, Semantic Clustering, and Chain of Reasoning tasks, StructRAG drastically outperformed both standard long-context LLMs and vanilla RAG models.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Knowledge Augmented Generation (KAG)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Parallel to the development of StructRAG, the KAG (Knowledge Augmented Generation) framework has become highly influential for professional domain applications.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KAG dynamically constructs domain expert knowledge using conceptual semantic deductions and heavily constrained human-annotated schemas. This approach vastly reduces the noise and structural contradictions often introduced by standard Open Information Extraction (OpenIE) systems.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In highly regulated governmental, healthcare, and quantitative finance applications, KAG architectures have raised strict factual accuracy benchmarks beyond the 80% threshold, proving that the integration of rigid symbolic logic with neural generation is the definitive path forward for financial language processing.</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RAG Methodology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Constraint Strategy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Financial Enterprise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Vector RAG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similarity mapping via dense numerical embeddings.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Nearest-neighbor chunk retrieval.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Simple definition lookups; fundamentally fails at multi-hop supply chain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Microsoft GraphRAG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extraction using the Leiden algorithm for hierarchical graph communities.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Forces the LLM to traverse explicit Subject-Predicate-Object paths.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Corporate governance mapping and basic cascading risk assessments.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StructRAG (ICLR 2025)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Inference-time hybrid information structurization using a DPO-trained routing module.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Dynamically builds the optimal structure (Table, Graph, Tree) based on query parameters.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Comparing complex temporal development trends across dozens of disparate 10-K filings simultaneously.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KAG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Conceptual semantic reasoning utilizing human-annotated expert schemas.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Rejects OpenIE noise; strictly enforces domain-specific rules.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Regulatory compliance reporting and highly sensitive macroeconomic policy synthesis.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RAG4GFM (NeurIPS 2025)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Multi-level graph indexing and sparse adjacency link augmentation.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Fuses retrieved topological features with query features to update massive GFMs efficiently.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Real-time updating of massive global trade networks without full model retraining.</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Deep-Dive Synthesis: Market Prediction &amp; Contagion Risk</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Moving Beyond Euclidean Market Assumptions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Traditional quantitative trading algorithms and risk models historically operate within Euclidean mathematical spaces. They assume that asset prices either move independently (following random walk theories) or exhibit simple, linear pairwise correlations based on broad sector categorizations or geographical proximity. However, the true microstructure of the stock market is driven by complex, high-order, non-Euclidean dependencies—such as shared board directors, hidden raw material supply dependencies, overlapping institutional ownership structures, and synchronized global macroeconomic sentiment.</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pairwise graphs, where a single edge connects exactly two nodes, fundamentally fail to capture these high-order group interactions. To truly model financial contagion—for example, mapping how the localized collapse of a regional bank instantly triggers a liquidity crisis across an entire interconnected venture capital and technology ecosystem—the field has aggressively shifted toward advanced topological modalities: Topological Data Analysis (TDA), Hypergraphs, and Spatio-Temporal manifolds.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Deep Learning (TDL) and Market Reconfiguration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Topological Deep Learning (TDL) represents a profound theoretical leap, moving beyond mere node-to-node connections to mathematically analyze the fundamental "shape" of the financial network. As articulated in seminal ICML 2024 and ICLR 2025 research, TDL utilizes algebraic topology—specifically persistent homology—to quantify the geometrical features of data across continuous spatial scales.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financial context, TDL evaluates the global market not as a flat graph, but as a simplicial complex (a generalization of graphs to include higher-dimensional spaces like filled triangles, tetrahedrons, and polyhedra). It calculates Betti numbers to define this space: </w:t>
      </w:r>
      <w:r w:rsidDel="00000000" w:rsidR="00000000" w:rsidRPr="00000000">
        <w:rPr>
          <w:rFonts w:ascii="Google Sans" w:cs="Google Sans" w:eastAsia="Google Sans" w:hAnsi="Google Sans"/>
        </w:rPr>
        <w:drawing>
          <wp:inline distB="19050" distT="19050" distL="19050" distR="19050">
            <wp:extent cx="178147" cy="225028"/>
            <wp:effectExtent b="0" l="0" r="0" t="0"/>
            <wp:docPr id="7"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rtl w:val="0"/>
        </w:rPr>
        <w:t xml:space="preserve"> represents connected components (identifying isolated market clusters or sectors), </w:t>
      </w:r>
      <w:r w:rsidDel="00000000" w:rsidR="00000000" w:rsidRPr="00000000">
        <w:rPr>
          <w:rFonts w:ascii="Google Sans" w:cs="Google Sans" w:eastAsia="Google Sans" w:hAnsi="Google Sans"/>
        </w:rPr>
        <w:drawing>
          <wp:inline distB="19050" distT="19050" distL="19050" distR="19050">
            <wp:extent cx="178147" cy="225028"/>
            <wp:effectExtent b="0" l="0" r="0" t="0"/>
            <wp:docPr id="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rtl w:val="0"/>
        </w:rPr>
        <w:t xml:space="preserve"> identifies cycles or holes (representing circular dependencies, synthetic lending loops, or un-arbitraged pricing mechanisms), and </w:t>
      </w:r>
      <w:r w:rsidDel="00000000" w:rsidR="00000000" w:rsidRPr="00000000">
        <w:rPr>
          <w:rFonts w:ascii="Google Sans" w:cs="Google Sans" w:eastAsia="Google Sans" w:hAnsi="Google Sans"/>
        </w:rPr>
        <w:drawing>
          <wp:inline distB="19050" distT="19050" distL="19050" distR="19050">
            <wp:extent cx="178147" cy="225028"/>
            <wp:effectExtent b="0" l="0" r="0" t="0"/>
            <wp:docPr id="9"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rtl w:val="0"/>
        </w:rPr>
        <w:t xml:space="preserve"> represents multidimensional voids (indicating complex, hidden systemic vulnerabilities).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As macroeconomic volatility increases, the topological "shape" of the market physically changes. Persistent homology tracks the exact birth and death of these topological features across a filtration parameter. Empirical research dictates that monitoring these topological summaries can reveal market-wide reorganization and pre-crash systemic stress significantly earlier than traditional univariate statistical indicators (like moving averages or standard deviations) can register the anomaly.</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Expanding on this, the Ordered TDL framework, published in early 2025, extends classical TDL by imposing strict directional flows onto these topological features.</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By assigning directions to simplices, Ordered TDL perfectly maps the inherently asymmetric flow of global capital and the directional transmission of contagion risk, offering unprecedented fidelity in mapping how a shock in one asset class cascades directionally through a cellular complex.</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Hypergraph Neural Networks for High-Order Factor Modeling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Topological Deep Learning focuses on the macroscopic shape of the network, Hypergraphs are utilized to focus on high-order group interactions at the micro-level. In a standard graph, an edge strictly connects two nodes. In a hypergraph, a </w:t>
      </w:r>
      <w:r w:rsidDel="00000000" w:rsidR="00000000" w:rsidRPr="00000000">
        <w:rPr>
          <w:rFonts w:ascii="Google Sans" w:cs="Google Sans" w:eastAsia="Google Sans" w:hAnsi="Google Sans"/>
          <w:i w:val="1"/>
          <w:iCs w:val="1"/>
          <w:rtl w:val="0"/>
        </w:rPr>
        <w:t xml:space="preserve">hyperedge</w:t>
      </w:r>
      <w:r w:rsidDel="00000000" w:rsidR="00000000" w:rsidRPr="00000000">
        <w:rPr>
          <w:rFonts w:ascii="Google Sans" w:cs="Google Sans" w:eastAsia="Google Sans" w:hAnsi="Google Sans"/>
          <w:rtl w:val="0"/>
        </w:rPr>
        <w:t xml:space="preserve"> can mathematically encompass an infinite number of nodes simultaneously. This structure perfectly mirrors the economic reality where a single macroeconomic factor (e.g., a sudden Federal Reserve interest rate hike) instantly impacts an entire basket of thousands of equities simultaneously, rather than interacting with them pairwise.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FactorGCL (Hypergraph-Based Factor Model with Temporal Residual Contrastive Learning) framework, published at AAAI 2025, directly addresses the notoriously low signal-to-noise ratio inherent in financial market data.</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Standard machine learning-based factor models struggle immensely to separate true, predictive alpha signals from overwhelming market noise. FactorGCL utilizes a highly sophisticated cascading residual hypergraph architecture. The model first isolates and mathematically extracts the predictive influence of known, human-designed prior factors (such as the standard Fama-French factors or known momentum indicators). Crucially, the model then mines </w:t>
      </w:r>
      <w:r w:rsidDel="00000000" w:rsidR="00000000" w:rsidRPr="00000000">
        <w:rPr>
          <w:rFonts w:ascii="Google Sans" w:cs="Google Sans" w:eastAsia="Google Sans" w:hAnsi="Google Sans"/>
          <w:i w:val="1"/>
          <w:iCs w:val="1"/>
          <w:rtl w:val="0"/>
        </w:rPr>
        <w:t xml:space="preserve">hidden</w:t>
      </w:r>
      <w:r w:rsidDel="00000000" w:rsidR="00000000" w:rsidRPr="00000000">
        <w:rPr>
          <w:rFonts w:ascii="Google Sans" w:cs="Google Sans" w:eastAsia="Google Sans" w:hAnsi="Google Sans"/>
          <w:rtl w:val="0"/>
        </w:rPr>
        <w:t xml:space="preserve"> machine-driven factors exclusively from the residual information left over after the priors are removed. By applying temporal residual contrastive learning—specifically contrasting stock-specific residual information over varying historical time periods—the model extracts highly effective, comprehensive hidden factors that drastically improve stock return prediction without merely "rediscovering" known market beta.</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Asynchronous Market Microstructure and HyperIMTS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Real-world financial tick data and limit order books are notoriously irregular and messy; transactions occur at highly random intervals, leaving massive temporal gaps and mismatched observations across different assets. A highly liquid mega-cap technology stock may update its price several times per millisecond, while an illiquid micro-cap stock may go minutes without a trade. Standard deep learning models enforce artificial data padding or imputation to force this asynchronous data into rigid, aligned matrices. This artificial padding destroys the strict temporal fidelity of the original data and introduces devastating computational inefficiencies.</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mathematically solve this, the HyperIMTS (Hypergraph Neural Network for Irregular Multivariate Time Series Forecasting) architecture was introduced at ICML 2025.</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HyperIMTS completely abandons data padding. Instead, it converts original, unaligned temporal observations directly into nodes within a massive hypergraph. These observational nodes are linked via two specific types of hyperedges: temporal hyperedges (tracking chronology) and variable hyperedges (tracking asset relationships). Through a novel "irregularity-aware message passing" mechanism, the network captures variable dependencies dynamically. It adapts flexibly to mismatched observations and irregular gaps, organically learning dependencies from the raw sampling patterns without the heavy computational cost or structural distortion of artificial padding.</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LOB-Bench: Standardizing Generative AI for Finance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rigorous scientific testing of these advanced market prediction and simulation algorithms is anchored by LOB-Bench, presented at ICML 2025.</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Limit Order Books (LOBs) represent the core, granular micro-structure of modern financial markets, containing every single bid and ask order. LOB-Bench provides the industry's first standardized, mathematically rigorous evaluation framework designed to measure the quality, stability, and realism of generative AI models (such as diffusion networks) simulating LOB data.</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LOB-Bench utilizes advanced multivariate statistical evaluations. It computes marginal Kullback–Leibler (KL) divergences to mathematically quantify the distributional shifts between synthetically generated order books and real-world historical data.</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The benchmark strictly evaluates models across features such as order book volumes, spread dynamics, order imbalance ratios, and highly sensitive message inter-arrival times. This standardized benchmark ensures that synthetic market data used to back-test advanced algorithmic trading bots and TDL models strictly adheres to the complex, non-stationary reality of real-world micro-structure dynamics.</w:t>
      </w:r>
      <w:r w:rsidDel="00000000" w:rsidR="00000000" w:rsidRPr="00000000">
        <w:rPr>
          <w:rFonts w:ascii="Google Sans" w:cs="Google Sans" w:eastAsia="Google Sans" w:hAnsi="Google Sans"/>
          <w:sz w:val="24"/>
          <w:szCs w:val="24"/>
          <w:vertAlign w:val="superscript"/>
          <w:rtl w:val="0"/>
        </w:rPr>
        <w:t xml:space="preserve">61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Topology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Spatial Domain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Temporal Approach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Financial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Ordered TDL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Simplicial and Cellular Complexes.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Directional flow mapping across persistent homology.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Systemic risk modeling; identifying topological precursors to market crashes.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FactorGCL (AAAI 2025)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Cascading Residual Hypergraphs.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residual contrastive learning.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High-frequency stock return prediction; separating hidden alpha from known beta.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HyperIMTS (ICML 2025)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Node-observation hypergraphs.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Irregularity-aware message passing.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Forecasting on highly asynchronous limit order books without artificial padding.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LOB-Bench Framework</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(Standardized Benchmark Suite).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Multivariate continuous-time metrics.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Evaluating generative diffusion models for synthetic financial market simulation via KL divergences.</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 5 Novel Graph Innovations in Finance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specific architectures represent the absolute frontier of graph machine learning applied to quantitative finance between 2024 and 2026, offering paradigm-shifting capabilities over traditional Euclidean and static methods.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SAMBA (Graph-Mamba Approach for Stock Price Prediction)</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Key Paper: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Mamba Meets Financial Markets: A Graph-Mamba Approach for Stock Price Prediction</w:t>
      </w:r>
      <w:r w:rsidDel="00000000" w:rsidR="00000000" w:rsidRPr="00000000">
        <w:rPr>
          <w:rFonts w:ascii="Google Sans" w:cs="Google Sans" w:eastAsia="Google Sans" w:hAnsi="Google Sans"/>
          <w:rtl w:val="0"/>
        </w:rPr>
        <w:t xml:space="preserve"> (IEEE ICASSP, April 2025).</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The architecture profoundly fuses a Bidirectional Mamba (BI-Mamba) block with Adaptive Graph Convolution (AGC) layers. It transforms continuous linear ODEs into discrete state-space representations. The integration of a selective scan algorithm dynamically focuses on relevant sequence inputs while actively discarding market noise. This mechanism allows the model to process bidirectional temporal data alongside high-order spatial graph convolutions utilizing Chebyshev polynomials.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Impact:</w:t>
      </w:r>
      <w:r w:rsidDel="00000000" w:rsidR="00000000" w:rsidRPr="00000000">
        <w:rPr>
          <w:rFonts w:ascii="Google Sans" w:cs="Google Sans" w:eastAsia="Google Sans" w:hAnsi="Google Sans"/>
          <w:rtl w:val="0"/>
        </w:rPr>
        <w:t xml:space="preserve"> SAMBA acts as a total replacement for Transformer-based models in high-frequency trading. Transformers exhibit </w:t>
      </w:r>
      <w:r w:rsidDel="00000000" w:rsidR="00000000" w:rsidRPr="00000000">
        <w:rPr>
          <w:rFonts w:ascii="Google Sans" w:cs="Google Sans" w:eastAsia="Google Sans" w:hAnsi="Google Sans"/>
        </w:rPr>
        <w:drawing>
          <wp:inline distB="19050" distT="19050" distL="19050" distR="19050">
            <wp:extent cx="537270" cy="239852"/>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7270" cy="239852"/>
                    </a:xfrm>
                    <a:prstGeom prst="rect"/>
                    <a:ln/>
                  </pic:spPr>
                </pic:pic>
              </a:graphicData>
            </a:graphic>
          </wp:inline>
        </w:drawing>
      </w:r>
      <w:r w:rsidDel="00000000" w:rsidR="00000000" w:rsidRPr="00000000">
        <w:rPr>
          <w:rFonts w:ascii="Google Sans" w:cs="Google Sans" w:eastAsia="Google Sans" w:hAnsi="Google Sans"/>
          <w:rtl w:val="0"/>
        </w:rPr>
        <w:t xml:space="preserve"> computational complexity, rendering them unviably slow and resource-intensive for long-sequence tick data. SAMBA operates at near-linear </w:t>
      </w:r>
      <w:r w:rsidDel="00000000" w:rsidR="00000000" w:rsidRPr="00000000">
        <w:rPr>
          <w:rFonts w:ascii="Google Sans" w:cs="Google Sans" w:eastAsia="Google Sans" w:hAnsi="Google Sans"/>
        </w:rPr>
        <w:drawing>
          <wp:inline distB="19050" distT="19050" distL="19050" distR="19050">
            <wp:extent cx="931515" cy="237631"/>
            <wp:effectExtent b="0" l="0" r="0" t="0"/>
            <wp:docPr id="1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931515" cy="237631"/>
                    </a:xfrm>
                    <a:prstGeom prst="rect"/>
                    <a:ln/>
                  </pic:spPr>
                </pic:pic>
              </a:graphicData>
            </a:graphic>
          </wp:inline>
        </w:drawing>
      </w:r>
      <w:r w:rsidDel="00000000" w:rsidR="00000000" w:rsidRPr="00000000">
        <w:rPr>
          <w:rFonts w:ascii="Google Sans" w:cs="Google Sans" w:eastAsia="Google Sans" w:hAnsi="Google Sans"/>
          <w:rtl w:val="0"/>
        </w:rPr>
        <w:t xml:space="preserve"> complexity. This exponential increase in speed allows for real-time, low-latency stock return ratio predictions, making the deep learning processing of massive historical limit order books computationally feasible for quantitative hedge funds.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Benchmark Datasets:</w:t>
      </w:r>
      <w:r w:rsidDel="00000000" w:rsidR="00000000" w:rsidRPr="00000000">
        <w:rPr>
          <w:rFonts w:ascii="Google Sans" w:cs="Google Sans" w:eastAsia="Google Sans" w:hAnsi="Google Sans"/>
          <w:rtl w:val="0"/>
        </w:rPr>
        <w:t xml:space="preserve"> Evaluated on exhaustive, real-world US stock market datasets (NASDAQ Composite IXIC, NYSE, Dow Jones DJI) spanning from January 2010 to November 2023. The graph constructed utilizes 82 distinct daily stock features per node, including technical indicators and macroeconomic metrics.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HyperIMTS (Hypergraph for Irregular Time Series)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Key Paper: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HyperIMTS: Hypergraph Neural Network for Irregular Multivariate Time Series Forecasting</w:t>
      </w:r>
      <w:r w:rsidDel="00000000" w:rsidR="00000000" w:rsidRPr="00000000">
        <w:rPr>
          <w:rFonts w:ascii="Google Sans" w:cs="Google Sans" w:eastAsia="Google Sans" w:hAnsi="Google Sans"/>
          <w:rtl w:val="0"/>
        </w:rPr>
        <w:t xml:space="preserve"> (ICML, July 2025).</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HyperIMTS entirely abandons standard matrix-padding techniques used to solve time-series gaps. Instead, it maps raw, unaligned financial observations directly to individual nodes within a multi-dimensional hypergraph. It employs "irregularity-aware message passing" via carefully constructed temporal and variable hyperedges. This allows the neural network to organically learn dependencies across highly irregular time intervals without assuming a fixed sampling rate.</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Impact:</w:t>
      </w:r>
      <w:r w:rsidDel="00000000" w:rsidR="00000000" w:rsidRPr="00000000">
        <w:rPr>
          <w:rFonts w:ascii="Google Sans" w:cs="Google Sans" w:eastAsia="Google Sans" w:hAnsi="Google Sans"/>
          <w:rtl w:val="0"/>
        </w:rPr>
        <w:t xml:space="preserve"> In algorithmic trading, asset prices update asynchronously based on liquidity. Traditional models force these distinct temporal events into artificially aligned matrices via padding, completely distorting the underlying signal. HyperIMTS preserves the raw micro-structural reality of the market tape. This yields vastly superior forecasting accuracy for asynchronous financial events while simultaneously lowering the computational overhead by ignoring empty padded time-steps.</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Benchmark Datasets:</w:t>
      </w:r>
      <w:r w:rsidDel="00000000" w:rsidR="00000000" w:rsidRPr="00000000">
        <w:rPr>
          <w:rFonts w:ascii="Google Sans" w:cs="Google Sans" w:eastAsia="Google Sans" w:hAnsi="Google Sans"/>
          <w:rtl w:val="0"/>
        </w:rPr>
        <w:t xml:space="preserve"> Validated on standard irregular multivariate time series datasets (utilizing medical and sensor analogues like PhysioNet, which map mathematically directly to the structure of asynchronous financial tick data).</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StructRAG (Inference-time Hybrid Information Structurization)</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Key Paper: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StructRAG: Boosting Knowledge Intensive Reasoning of LLMs via Inference-time Hybrid Information Structurization</w:t>
      </w:r>
      <w:r w:rsidDel="00000000" w:rsidR="00000000" w:rsidRPr="00000000">
        <w:rPr>
          <w:rFonts w:ascii="Google Sans" w:cs="Google Sans" w:eastAsia="Google Sans" w:hAnsi="Google Sans"/>
          <w:rtl w:val="0"/>
        </w:rPr>
        <w:t xml:space="preserve"> (ICLR, April 2025).</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An advanced, multi-modal GraphRAG pipeline that dynamically chooses the actual topological structure of its knowledge base at inference time. It utilizes a custom DPO-trained LLM router to assess a user's query, physically restructures raw, scattered financial documents into the mathematically optimal format (whether a formal graph, a structured table, or a tree) using a structurizer module, and then executes multi-hop deductive traversal via a structured knowledge utilizer.</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Impact:</w:t>
      </w:r>
      <w:r w:rsidDel="00000000" w:rsidR="00000000" w:rsidRPr="00000000">
        <w:rPr>
          <w:rFonts w:ascii="Google Sans" w:cs="Google Sans" w:eastAsia="Google Sans" w:hAnsi="Google Sans"/>
          <w:rtl w:val="0"/>
        </w:rPr>
        <w:t xml:space="preserve"> StructRAG essentially eradicates the hallucination problem in fundamental financial analysis. When synthesizing dozens of disparate 10-K filings, traditional LLMs completely fail to compare temporal development trends accurately. StructRAG mathematically grounds the LLM into a formal structure, enabling flawless comparative analysis, deep supply chain vulnerability mapping, and the precise extraction of scattered numerical financial indicators with total reliability.</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Benchmark Datasets:</w:t>
      </w:r>
      <w:r w:rsidDel="00000000" w:rsidR="00000000" w:rsidRPr="00000000">
        <w:rPr>
          <w:rFonts w:ascii="Google Sans" w:cs="Google Sans" w:eastAsia="Google Sans" w:hAnsi="Google Sans"/>
          <w:rtl w:val="0"/>
        </w:rPr>
        <w:t xml:space="preserve"> Tested exhaustively against the </w:t>
      </w:r>
      <w:r w:rsidDel="00000000" w:rsidR="00000000" w:rsidRPr="00000000">
        <w:rPr>
          <w:rFonts w:ascii="Google Sans" w:cs="Google Sans" w:eastAsia="Google Sans" w:hAnsi="Google Sans"/>
          <w:b w:val="1"/>
          <w:bCs w:val="1"/>
          <w:rtl w:val="0"/>
        </w:rPr>
        <w:t xml:space="preserve">Loong Benchmark</w:t>
      </w:r>
      <w:r w:rsidDel="00000000" w:rsidR="00000000" w:rsidRPr="00000000">
        <w:rPr>
          <w:rFonts w:ascii="Google Sans" w:cs="Google Sans" w:eastAsia="Google Sans" w:hAnsi="Google Sans"/>
          <w:rtl w:val="0"/>
        </w:rPr>
        <w:t xml:space="preserve">, a massive extended multi-document QA dataset containing highly complex financial reports, legal cases, and academic papers, featuring extreme context windows scaling beyond 250,000 tokens.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FactorGCL (Hypergraph-Based Factor Model)</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Key Paper: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FactorGCL: A Hypergraph-Based Factor Model with Temporal Residual Contrastive Learning for Stock Returns Prediction</w:t>
      </w:r>
      <w:r w:rsidDel="00000000" w:rsidR="00000000" w:rsidRPr="00000000">
        <w:rPr>
          <w:rFonts w:ascii="Google Sans" w:cs="Google Sans" w:eastAsia="Google Sans" w:hAnsi="Google Sans"/>
          <w:rtl w:val="0"/>
        </w:rPr>
        <w:t xml:space="preserve"> (AAAI, February 2025).</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Constructs a highly specialized cascading residual hypergraph architecture to capture high-order, non-linear relationships across massive baskets of equities. It orthogonalizes data-driven signals against known financial factors (e.g., Fama-French variables), extracting hidden alpha exclusively from the residual data. It trains these hidden representations using a novel temporal residual contrastive learning objective, continuously comparing stock-specific residual data across varying historical market periods.</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Impact:</w:t>
      </w:r>
      <w:r w:rsidDel="00000000" w:rsidR="00000000" w:rsidRPr="00000000">
        <w:rPr>
          <w:rFonts w:ascii="Google Sans" w:cs="Google Sans" w:eastAsia="Google Sans" w:hAnsi="Google Sans"/>
          <w:rtl w:val="0"/>
        </w:rPr>
        <w:t xml:space="preserve"> Directly solves the signal-to-noise ratio crisis in machine learning-based quantitative finance. By actively filtering out the statistical effects of known priors, FactorGCL prevents the algorithm from lazily "rediscovering" obvious market beta. This forces the model to find highly complex, non-linear alpha factors that human analysts cannot perceive mathematically, leading to provably superior cross-sectional portfolio returns.</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Benchmark Datasets:</w:t>
      </w:r>
      <w:r w:rsidDel="00000000" w:rsidR="00000000" w:rsidRPr="00000000">
        <w:rPr>
          <w:rFonts w:ascii="Google Sans" w:cs="Google Sans" w:eastAsia="Google Sans" w:hAnsi="Google Sans"/>
          <w:rtl w:val="0"/>
        </w:rPr>
        <w:t xml:space="preserve"> Evaluated extensively on massive historical stock market return datasets, comparing cross-sectional return prediction capabilities and Sharpe ratios against baseline linear factor models and traditional sequence models.</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RAG4GFM &amp; KGGen (Graph Foundation Model Optimization)</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Key Paper(s):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RAG4GFM: Bridging Knowledge Gaps in Graph Foundation Models through Graph Retrieval Augmented Generation</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iCs w:val="1"/>
          <w:rtl w:val="0"/>
        </w:rPr>
        <w:t xml:space="preserve">KGGen: Extracting Knowledge Graphs from Plain Text with Language Models</w:t>
      </w:r>
      <w:r w:rsidDel="00000000" w:rsidR="00000000" w:rsidRPr="00000000">
        <w:rPr>
          <w:rFonts w:ascii="Google Sans" w:cs="Google Sans" w:eastAsia="Google Sans" w:hAnsi="Google Sans"/>
          <w:rtl w:val="0"/>
        </w:rPr>
        <w:t xml:space="preserve"> (NeurIPS, December 2025).</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RAG4GFM introduces a comprehensive framework integrating multi-level graph indexing and task-aware retrieval for massive foundation models. It utilizes a graph fusion enhancement module that augments underlying network topology with sparse adjacency links that preserve structural proximity. KGGen complements this by using specialized entity resolution approaches to cluster related entities from plain text, drastically reducing knowledge graph sparsity.</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Impact:</w:t>
      </w:r>
      <w:r w:rsidDel="00000000" w:rsidR="00000000" w:rsidRPr="00000000">
        <w:rPr>
          <w:rFonts w:ascii="Google Sans" w:cs="Google Sans" w:eastAsia="Google Sans" w:hAnsi="Google Sans"/>
          <w:rtl w:val="0"/>
        </w:rPr>
        <w:t xml:space="preserve"> Maintaining the accuracy of massive financial knowledge graphs typically requires complete model retraining as the global economy updates daily. RAG4GFM allows these massive Graph Foundation Models to ingest continuous real-time data (like sudden mergers, acquisitions, or bankruptcies) efficiently via logarithmic-time retrieval. This maintains absolute reasoning faithfulness over time without the millions of dollars in compute costs associated with foundation model retraining.</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Benchmark Datasets:</w:t>
      </w:r>
      <w:r w:rsidDel="00000000" w:rsidR="00000000" w:rsidRPr="00000000">
        <w:rPr>
          <w:rFonts w:ascii="Google Sans" w:cs="Google Sans" w:eastAsia="Google Sans" w:hAnsi="Google Sans"/>
          <w:rtl w:val="0"/>
        </w:rPr>
        <w:t xml:space="preserve"> Tested on diverse large-scale graph learning tasks and specifically evaluated via the </w:t>
      </w:r>
      <w:r w:rsidDel="00000000" w:rsidR="00000000" w:rsidRPr="00000000">
        <w:rPr>
          <w:rFonts w:ascii="Google Sans" w:cs="Google Sans" w:eastAsia="Google Sans" w:hAnsi="Google Sans"/>
          <w:b w:val="1"/>
          <w:bCs w:val="1"/>
          <w:rtl w:val="0"/>
        </w:rPr>
        <w:t xml:space="preserve">MINE (Measure of Information in Nodes and Edges)</w:t>
      </w:r>
      <w:r w:rsidDel="00000000" w:rsidR="00000000" w:rsidRPr="00000000">
        <w:rPr>
          <w:rFonts w:ascii="Google Sans" w:cs="Google Sans" w:eastAsia="Google Sans" w:hAnsi="Google Sans"/>
          <w:rtl w:val="0"/>
        </w:rPr>
        <w:t xml:space="preserve"> benchmark, the industry's first standard for testing the utility of KGs extracted from unstructured text.</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Identified "Research Gaps"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the unprecedented acceleration of graph machine learning in quantitative finance, the exhaustive synthesis of this literature review reveals two highly distinct, unexplored theoretical intersections that offer fertile ground for novel, paradigm-shifting research papers.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Gap 1: Federated Topological GraphRAG for Continuous-Time Evolving Supply Chains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Intersection:</w:t>
      </w:r>
      <w:r w:rsidDel="00000000" w:rsidR="00000000" w:rsidRPr="00000000">
        <w:rPr>
          <w:rFonts w:ascii="Google Sans" w:cs="Google Sans" w:eastAsia="Google Sans" w:hAnsi="Google Sans"/>
          <w:rtl w:val="0"/>
        </w:rPr>
        <w:t xml:space="preserve"> This gap sits at the convergence of the deterministic grounding of GraphRAG (Track 2), the geometric contagion mapping of Topological Deep Learning (Track 3), and Federated Continuous-Time updates (Track 1).</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Premise:</w:t>
      </w:r>
      <w:r w:rsidDel="00000000" w:rsidR="00000000" w:rsidRPr="00000000">
        <w:rPr>
          <w:rFonts w:ascii="Google Sans" w:cs="Google Sans" w:eastAsia="Google Sans" w:hAnsi="Google Sans"/>
          <w:rtl w:val="0"/>
        </w:rPr>
        <w:t xml:space="preserve"> Current state-of-the-art GraphRAG architectures (such as StructRAG or KAG) operate under the assumption that the underlying Knowledge Graph is a relatively static representation of historical documents (e.g., a set of quarterly SEC filings). However, corporate supply chains and interconnected financial markets are deeply Continuous-Time Dynamic Graphs. If a geopolitical shock suddenly severs a critical global supply chain link, the topological "shape" of the global network changes instantly.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Novel Contribution:</w:t>
      </w:r>
      <w:r w:rsidDel="00000000" w:rsidR="00000000" w:rsidRPr="00000000">
        <w:rPr>
          <w:rFonts w:ascii="Google Sans" w:cs="Google Sans" w:eastAsia="Google Sans" w:hAnsi="Google Sans"/>
          <w:rtl w:val="0"/>
        </w:rPr>
        <w:t xml:space="preserve"> A framework where the underlying Knowledge Graph utilized in a high-stakes RAG system is continuously monitored via persistent homology and federated learning protocols. When the internal TDL layer detects a critical topological reconfiguration (e.g., the birth of a new "void" or a </w:t>
      </w:r>
      <w:r w:rsidDel="00000000" w:rsidR="00000000" w:rsidRPr="00000000">
        <w:rPr>
          <w:rFonts w:ascii="Google Sans" w:cs="Google Sans" w:eastAsia="Google Sans" w:hAnsi="Google Sans"/>
        </w:rPr>
        <w:drawing>
          <wp:inline distB="19050" distT="19050" distL="19050" distR="19050">
            <wp:extent cx="178147" cy="225028"/>
            <wp:effectExtent b="0" l="0" r="0" t="0"/>
            <wp:docPr id="2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rtl w:val="0"/>
        </w:rPr>
        <w:t xml:space="preserve"> feature indicating a systemic supply chain collapse), it actively triggers a targeted, localized re-indexing of the GraphRAG structural router. An autonomous LLM agent would then automatically generate predictive, heavily grounded contagion reports in real-time ("Based on the topological severing of Node X, the following Tier-3 suppliers face an 85% probability of insolvency"). This theoretical architecture beautifully merges generative text capabilities with rigorous algebraic topology, an entirely unexplored vector in financial literature.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Gap 2: Continuous-Time Heterogeneous Hyper-Mamba for Decentralized Finance (DeFi) Structuring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Intersection:</w:t>
      </w:r>
      <w:r w:rsidDel="00000000" w:rsidR="00000000" w:rsidRPr="00000000">
        <w:rPr>
          <w:rFonts w:ascii="Google Sans" w:cs="Google Sans" w:eastAsia="Google Sans" w:hAnsi="Google Sans"/>
          <w:rtl w:val="0"/>
        </w:rPr>
        <w:t xml:space="preserve"> Combining the linear temporal complexity of Graph-Mamba architectures (Track 1) with the high-order spatial modeling capabilities of Hypergraphs (Track 3) for advanced AML applications in decentralized networks.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Premise:</w:t>
      </w:r>
      <w:r w:rsidDel="00000000" w:rsidR="00000000" w:rsidRPr="00000000">
        <w:rPr>
          <w:rFonts w:ascii="Google Sans" w:cs="Google Sans" w:eastAsia="Google Sans" w:hAnsi="Google Sans"/>
          <w:rtl w:val="0"/>
        </w:rPr>
        <w:t xml:space="preserve"> Current models like SAMBA integrate State Space Models with standard pairwise Graph Neural Networks. However, advanced money laundering—specifically "smurfing" via decentralized finance (DeFi) liquidity pools—is a highly coordinated, high-order group activity. It involves dozens of synthetic smart contracts acting simultaneously as a single entity to bypass algorithmic detection. Standard pairwise temporal graphs struggle to capture this high-order group dynamic inherently.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Novel Contribution:</w:t>
      </w:r>
      <w:r w:rsidDel="00000000" w:rsidR="00000000" w:rsidRPr="00000000">
        <w:rPr>
          <w:rFonts w:ascii="Google Sans" w:cs="Google Sans" w:eastAsia="Google Sans" w:hAnsi="Google Sans"/>
          <w:rtl w:val="0"/>
        </w:rPr>
        <w:t xml:space="preserve"> The design and implementation of a "Hyper-Mamba" architecture. This model would explicitly define </w:t>
      </w:r>
      <w:r w:rsidDel="00000000" w:rsidR="00000000" w:rsidRPr="00000000">
        <w:rPr>
          <w:rFonts w:ascii="Google Sans" w:cs="Google Sans" w:eastAsia="Google Sans" w:hAnsi="Google Sans"/>
          <w:i w:val="1"/>
          <w:iCs w:val="1"/>
          <w:rtl w:val="0"/>
        </w:rPr>
        <w:t xml:space="preserve">hyperedges</w:t>
      </w:r>
      <w:r w:rsidDel="00000000" w:rsidR="00000000" w:rsidRPr="00000000">
        <w:rPr>
          <w:rFonts w:ascii="Google Sans" w:cs="Google Sans" w:eastAsia="Google Sans" w:hAnsi="Google Sans"/>
          <w:rtl w:val="0"/>
        </w:rPr>
        <w:t xml:space="preserve"> across continuously evolving clusters of suspected synthetic accounts. The continuous-time transaction flow of this entire hyperedge would be processed by a shared, bidirectional selective State Space Model. The selective scan algorithm of the Mamba block would mathematically isolate the precise moments the group coordinates illicit micro-transactions, dropping benign individual noise. This architecture would possess the linear temporal scaling strictly required for high-frequency transaction data while possessing the spatial high-order hypergraph structure fundamentally required to catch coordinated laundering rings instantly.</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Recommended Frameworks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empirically implement these theoretical architectures and benchmarks today, quantitative researchers must utilize the bleeding-edge open-source software ecosystems developed and refined throughout the 2024–2026 cycle.</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PyG Temporal (PyTorch Geometric Temporal):</w:t>
      </w:r>
      <w:r w:rsidDel="00000000" w:rsidR="00000000" w:rsidRPr="00000000">
        <w:rPr>
          <w:rFonts w:ascii="Google Sans" w:cs="Google Sans" w:eastAsia="Google Sans" w:hAnsi="Google Sans"/>
          <w:rtl w:val="0"/>
        </w:rPr>
        <w:t xml:space="preserve"> The foundational Python library for implementing dynamic and temporal graph neural networks. It natively supports the construction of DynamicGraphTemporalSignal objects, which are strictly required for establishing the baseline discrete data models in any AML or high-frequency trading research. It includes highly optimized, GPU-accelerated implementations of Spatio-Temporal Graph Convolutional Layers vital for recreating architectures like SAMBA.</w:t>
      </w:r>
      <w:r w:rsidDel="00000000" w:rsidR="00000000" w:rsidRPr="00000000">
        <w:rPr>
          <w:rFonts w:ascii="Google Sans" w:cs="Google Sans" w:eastAsia="Google Sans" w:hAnsi="Google Sans"/>
          <w:sz w:val="24"/>
          <w:szCs w:val="24"/>
          <w:vertAlign w:val="superscript"/>
          <w:rtl w:val="0"/>
        </w:rPr>
        <w:t xml:space="preserve">64</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TopoBench &amp; TopoTune:</w:t>
      </w:r>
      <w:r w:rsidDel="00000000" w:rsidR="00000000" w:rsidRPr="00000000">
        <w:rPr>
          <w:rFonts w:ascii="Google Sans" w:cs="Google Sans" w:eastAsia="Google Sans" w:hAnsi="Google Sans"/>
          <w:rtl w:val="0"/>
        </w:rPr>
        <w:t xml:space="preserve"> An indispensable, newly released modular Python library designed by the geometric-intelligence consortium. It standardizes the benchmarking of Topological Deep Learning. TopoBench provides native algorithms to structurally "lift" standard datasets from lower-order graphs to higher-order simplicial and cellular complexes. This provides the exact operational pipeline required to research market contagion topologies and Ordered TDL frameworks.</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Neo4j LLM Knowledge Graph Builder:</w:t>
      </w:r>
      <w:r w:rsidDel="00000000" w:rsidR="00000000" w:rsidRPr="00000000">
        <w:rPr>
          <w:rFonts w:ascii="Google Sans" w:cs="Google Sans" w:eastAsia="Google Sans" w:hAnsi="Google Sans"/>
          <w:rtl w:val="0"/>
        </w:rPr>
        <w:t xml:space="preserve"> For researching and rapidly deploying Financial GraphRAG systems, Neo4j provides enterprise-grade infrastructure capable of extracting entities and relationships from raw unstructured text to build the foundational graph. Crucially, it integrates natively with the Leiden hierarchical clustering algorithm required to establish the community summary nodes utilized in modern, state-of-the-art GraphRAG architectures.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Loong Benchmark Ecosystem:</w:t>
      </w:r>
      <w:r w:rsidDel="00000000" w:rsidR="00000000" w:rsidRPr="00000000">
        <w:rPr>
          <w:rFonts w:ascii="Google Sans" w:cs="Google Sans" w:eastAsia="Google Sans" w:hAnsi="Google Sans"/>
          <w:rtl w:val="0"/>
        </w:rPr>
        <w:t xml:space="preserve"> For rigorously evaluating any novel structural LLM framework (such as proposed extensions of StructRAG), the Loong repository on GitHub provides the definitive, standardized dataset of extended multi-document QA scenarios. It explicitly supports context windows exceeding 250,000 tokens and utilizes GPT-4 APIs as an automated judge for granular accuracy, hallucination, and completeness metrics.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LOB-Bench Python Library:</w:t>
      </w:r>
      <w:r w:rsidDel="00000000" w:rsidR="00000000" w:rsidRPr="00000000">
        <w:rPr>
          <w:rFonts w:ascii="Google Sans" w:cs="Google Sans" w:eastAsia="Google Sans" w:hAnsi="Google Sans"/>
          <w:rtl w:val="0"/>
        </w:rPr>
        <w:t xml:space="preserve"> Absolutely essential for any quantitative research attempting to model limit order books or algorithmic trading execution via generative AI. This open-source framework provides the exact mathematical metrics (such as marginal Kullback–Leibler divergence calculations) and distributional shift tracking tools required to empirically validate that synthetic market generation accurately maps to real-world financial micro-structures.</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FederatedScope-LLM:</w:t>
      </w:r>
      <w:r w:rsidDel="00000000" w:rsidR="00000000" w:rsidRPr="00000000">
        <w:rPr>
          <w:rFonts w:ascii="Google Sans" w:cs="Google Sans" w:eastAsia="Google Sans" w:hAnsi="Google Sans"/>
          <w:rtl w:val="0"/>
        </w:rPr>
        <w:t xml:space="preserve"> For researching privacy-preserving financial crime detection (such as the FC2L architecture), this framework provides the necessary tools to implement federated continual learning across distributed network topologies without violating data privacy regulations, highly relevant for modern banking compliance integration.</w:t>
      </w:r>
      <w:r w:rsidDel="00000000" w:rsidR="00000000" w:rsidRPr="00000000">
        <w:rPr>
          <w:rFonts w:ascii="Google Sans" w:cs="Google Sans" w:eastAsia="Google Sans" w:hAnsi="Google Sans"/>
          <w:sz w:val="24"/>
          <w:szCs w:val="24"/>
          <w:vertAlign w:val="superscript"/>
          <w:rtl w:val="0"/>
        </w:rPr>
        <w:t xml:space="preserve">70</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GNN? Graph Neural Networks Explained Simply - Articsledge, accessed May 4, 2026, </w:t>
      </w:r>
      <w:hyperlink r:id="rId33">
        <w:r w:rsidDel="00000000" w:rsidR="00000000" w:rsidRPr="00000000">
          <w:rPr>
            <w:rFonts w:ascii="Google Sans" w:cs="Google Sans" w:eastAsia="Google Sans" w:hAnsi="Google Sans"/>
            <w:color w:val="0000ee"/>
            <w:sz w:val="24"/>
            <w:szCs w:val="24"/>
            <w:u w:val="single"/>
            <w:rtl w:val="0"/>
          </w:rPr>
          <w:t xml:space="preserve">https://www.articsledge.com/post/graph-neural-network-gnn</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FraudLens: Graph Structural Learning for Bitcoin Illicit Activity Identification - ResearchGate, accessed May 4,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https://www.researchgate.net/publication/376201609_FraudLens_Graph_Structural_Learning_for_Bitcoin_Illicit_Activity_Identification</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Learning-Empowered Financial Fraud Detection: Progress and Future Directions, accessed May 4,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https://www.researchgate.net/publication/394573113_Graph_Learning-Empowered_Financial_Fraud_Detection_Progress_and_Future_Directions</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Temporal Heterogeneous Graph Contrastive Learning for Fraud Detection in Credit Card Transactions - ResearchGate, accessed May 4,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https://www.researchgate.net/publication/394559360_Temporal_Heterogeneous_Graph_Contrastive_Learning_for_Fraud_Detection_in_Credit_Card_Transactions</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DynGraphTrans: Dynamic Graph Embedding via Modified Universal Transformer Networks for Financial Transaction Data | Request PDF - ResearchGate, accessed May 4,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https://www.researchgate.net/publication/355895699_DynGraphTrans_Dynamic_Graph_Embedding_via_Modified_Universal_Transformer_Networks_for_Financial_Transaction_Data</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Mamba - arXiv, accessed May 4, 2026, </w:t>
      </w:r>
      <w:hyperlink r:id="rId38">
        <w:r w:rsidDel="00000000" w:rsidR="00000000" w:rsidRPr="00000000">
          <w:rPr>
            <w:rFonts w:ascii="Google Sans" w:cs="Google Sans" w:eastAsia="Google Sans" w:hAnsi="Google Sans"/>
            <w:color w:val="0000ee"/>
            <w:sz w:val="24"/>
            <w:szCs w:val="24"/>
            <w:u w:val="single"/>
            <w:rtl w:val="0"/>
          </w:rPr>
          <w:t xml:space="preserve">https://arxiv.org/html/2408.01129v8</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MAMBATS: IMPROVED SELECTIVE STATE SPACE MOD- ELS FOR LONG-TERM TIME SERIES FORECASTING - OpenReview, accessed May 4, 2026, </w:t>
      </w:r>
      <w:hyperlink r:id="rId39">
        <w:r w:rsidDel="00000000" w:rsidR="00000000" w:rsidRPr="00000000">
          <w:rPr>
            <w:rFonts w:ascii="Google Sans" w:cs="Google Sans" w:eastAsia="Google Sans" w:hAnsi="Google Sans"/>
            <w:color w:val="0000ee"/>
            <w:sz w:val="24"/>
            <w:szCs w:val="24"/>
            <w:u w:val="single"/>
            <w:rtl w:val="0"/>
          </w:rPr>
          <w:t xml:space="preserve">https://openreview.net/pdf?id=vEtDApqkNR</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Mamba Meets Financial Markets: A Graph-Mamba Approach ..., accessed May 4,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https://www.researchgate.net/publication/390537799_Mamba_Meets_Financial_Markets_A_Graph-Mamba_Approach_for_Stock_Price_Prediction</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CLDG: Contrastive Learning on Dynamic Graphs | Request PDF - ResearchGate, accessed May 4,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https://www.researchgate.net/publication/372671981_CLDG_Contrastive_Learning_on_Dynamic_Graphs</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Contrastive Pre-training for Anti-money Laundering - ResearchGate, accessed May 4,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https://www.researchgate.net/publication/387179259_Graph_Contrastive_Pre-training_for_Anti-money_Laundering</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Approaches for Anti-Money Laundering on Mobile Transactions: Review, Framework, and Directions | IEEE Journals &amp; Magazine, accessed May 4, 2026, </w:t>
      </w:r>
      <w:hyperlink r:id="rId43">
        <w:r w:rsidDel="00000000" w:rsidR="00000000" w:rsidRPr="00000000">
          <w:rPr>
            <w:rFonts w:ascii="Google Sans" w:cs="Google Sans" w:eastAsia="Google Sans" w:hAnsi="Google Sans"/>
            <w:color w:val="0000ee"/>
            <w:sz w:val="24"/>
            <w:szCs w:val="24"/>
            <w:u w:val="single"/>
            <w:rtl w:val="0"/>
          </w:rPr>
          <w:t xml:space="preserve">https://ieeexplore.ieee.org/document/11346961?</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Approaches for Anti-Money Laundering on Mobile Transactions: Review, Framework, and Directions | Request PDF - ResearchGate, accessed May 4,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https://www.researchgate.net/publication/399709713_Deep_Learning_Approaches_for_Anti-Money_Laundering_on_Mobile_Transactions_Review_Framework_and_Directions</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Evaluating fraud detection algorithms in a decentralized scenario - ResearchGate, accessed May 4,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https://www.researchgate.net/publication/404284525_Evaluating_fraud_detection_algorithms_in_a_decentralized_scenario</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approaches for anti-money laundering on mobile ..., accessed May 4, 2026, </w:t>
      </w:r>
      <w:hyperlink r:id="rId46">
        <w:r w:rsidDel="00000000" w:rsidR="00000000" w:rsidRPr="00000000">
          <w:rPr>
            <w:rFonts w:ascii="Google Sans" w:cs="Google Sans" w:eastAsia="Google Sans" w:hAnsi="Google Sans"/>
            <w:color w:val="0000ee"/>
            <w:sz w:val="24"/>
            <w:szCs w:val="24"/>
            <w:u w:val="single"/>
            <w:rtl w:val="0"/>
          </w:rPr>
          <w:t xml:space="preserve">https://ink.library.smu.edu.sg/cgi/viewcontent.cgi?article=12052&amp;context=sis_research</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Artificial Intelligence in Detecting Money Laundering and Fraudulent Banking Activities - Asian Journal of Management, accessed May 4, 2026, </w:t>
      </w:r>
      <w:hyperlink r:id="rId47">
        <w:r w:rsidDel="00000000" w:rsidR="00000000" w:rsidRPr="00000000">
          <w:rPr>
            <w:rFonts w:ascii="Google Sans" w:cs="Google Sans" w:eastAsia="Google Sans" w:hAnsi="Google Sans"/>
            <w:color w:val="0000ee"/>
            <w:sz w:val="24"/>
            <w:szCs w:val="24"/>
            <w:u w:val="single"/>
            <w:rtl w:val="0"/>
          </w:rPr>
          <w:t xml:space="preserve">https://www.ajmjournal.com/HTML_Papers/Asian%20Journal%20of%20Management__PID__2026-17-1-2.html</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Privacy-Preserving Blockchain Transactions Synthesis with Diffusion Generative Models, accessed May 4, 2026, </w:t>
      </w:r>
      <w:hyperlink r:id="rId48">
        <w:r w:rsidDel="00000000" w:rsidR="00000000" w:rsidRPr="00000000">
          <w:rPr>
            <w:rFonts w:ascii="Google Sans" w:cs="Google Sans" w:eastAsia="Google Sans" w:hAnsi="Google Sans"/>
            <w:color w:val="0000ee"/>
            <w:sz w:val="24"/>
            <w:szCs w:val="24"/>
            <w:u w:val="single"/>
            <w:rtl w:val="0"/>
          </w:rPr>
          <w:t xml:space="preserve">https://ieeexplore.ieee.org/document/10917672/</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Fraud in Financial Networks: A Semi-Supervised GNN Approach with Granger-Causal Explanations - arXiv, accessed May 4, 2026, </w:t>
      </w:r>
      <w:hyperlink r:id="rId49">
        <w:r w:rsidDel="00000000" w:rsidR="00000000" w:rsidRPr="00000000">
          <w:rPr>
            <w:rFonts w:ascii="Google Sans" w:cs="Google Sans" w:eastAsia="Google Sans" w:hAnsi="Google Sans"/>
            <w:color w:val="0000ee"/>
            <w:sz w:val="24"/>
            <w:szCs w:val="24"/>
            <w:u w:val="single"/>
            <w:rtl w:val="0"/>
          </w:rPr>
          <w:t xml:space="preserve">https://arxiv.org/html/2507.01980v1</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Detection in Cryptocurrency Networks—An Exploration Using Anomaly Detection and Heterogeneous Graph Transformers - MDPI, accessed May 4, 2026, </w:t>
      </w:r>
      <w:hyperlink r:id="rId50">
        <w:r w:rsidDel="00000000" w:rsidR="00000000" w:rsidRPr="00000000">
          <w:rPr>
            <w:rFonts w:ascii="Google Sans" w:cs="Google Sans" w:eastAsia="Google Sans" w:hAnsi="Google Sans"/>
            <w:color w:val="0000ee"/>
            <w:sz w:val="24"/>
            <w:szCs w:val="24"/>
            <w:u w:val="single"/>
            <w:rtl w:val="0"/>
          </w:rPr>
          <w:t xml:space="preserve">https://www.mdpi.com/1999-5903/17/1/44</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 First, Trust Later: LLM-Augmented Explanations for Graph-Based Crypto Anomaly Detection - arXiv, accessed May 4, 2026, </w:t>
      </w:r>
      <w:hyperlink r:id="rId51">
        <w:r w:rsidDel="00000000" w:rsidR="00000000" w:rsidRPr="00000000">
          <w:rPr>
            <w:rFonts w:ascii="Google Sans" w:cs="Google Sans" w:eastAsia="Google Sans" w:hAnsi="Google Sans"/>
            <w:color w:val="0000ee"/>
            <w:sz w:val="24"/>
            <w:szCs w:val="24"/>
            <w:u w:val="single"/>
            <w:rtl w:val="0"/>
          </w:rPr>
          <w:t xml:space="preserve">https://arxiv.org/html/2506.14933v2</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DGraph: A Large-Scale Financial Dataset for Graph Anomaly Detection - ResearchGate, accessed May 4,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https://www.researchgate.net/publication/401455998_DGraph_A_Large-Scale_Financial_Dataset_for_Graph_Anomaly_Detection</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through Conditional Diffusion Probability Modeling on Graphs, accessed May 4, 2026, </w:t>
      </w:r>
      <w:hyperlink r:id="rId53">
        <w:r w:rsidDel="00000000" w:rsidR="00000000" w:rsidRPr="00000000">
          <w:rPr>
            <w:rFonts w:ascii="Google Sans" w:cs="Google Sans" w:eastAsia="Google Sans" w:hAnsi="Google Sans"/>
            <w:color w:val="0000ee"/>
            <w:sz w:val="24"/>
            <w:szCs w:val="24"/>
            <w:u w:val="single"/>
            <w:rtl w:val="0"/>
          </w:rPr>
          <w:t xml:space="preserve">https://openreview.net/forum?id=saRBktzh3q</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TA-GGAD: Testing-time Adaptive Graph Model for Generalist Graph Anomaly Detection, accessed May 4, 2026, </w:t>
      </w:r>
      <w:hyperlink r:id="rId54">
        <w:r w:rsidDel="00000000" w:rsidR="00000000" w:rsidRPr="00000000">
          <w:rPr>
            <w:rFonts w:ascii="Google Sans" w:cs="Google Sans" w:eastAsia="Google Sans" w:hAnsi="Google Sans"/>
            <w:color w:val="0000ee"/>
            <w:sz w:val="24"/>
            <w:szCs w:val="24"/>
            <w:u w:val="single"/>
            <w:rtl w:val="0"/>
          </w:rPr>
          <w:t xml:space="preserve">https://arxiv.org/html/2603.09349v1</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Anomaly-Aware Pre-Training and Fine-Tuning for Graph Anomaly Detection - arXiv, accessed May 4, 2026, </w:t>
      </w:r>
      <w:hyperlink r:id="rId55">
        <w:r w:rsidDel="00000000" w:rsidR="00000000" w:rsidRPr="00000000">
          <w:rPr>
            <w:rFonts w:ascii="Google Sans" w:cs="Google Sans" w:eastAsia="Google Sans" w:hAnsi="Google Sans"/>
            <w:color w:val="0000ee"/>
            <w:sz w:val="24"/>
            <w:szCs w:val="24"/>
            <w:u w:val="single"/>
            <w:rtl w:val="0"/>
          </w:rPr>
          <w:t xml:space="preserve">https://arxiv.org/html/2504.14250v3</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GraphRAG? - IBM, accessed May 4, 2026, </w:t>
      </w:r>
      <w:hyperlink r:id="rId56">
        <w:r w:rsidDel="00000000" w:rsidR="00000000" w:rsidRPr="00000000">
          <w:rPr>
            <w:rFonts w:ascii="Google Sans" w:cs="Google Sans" w:eastAsia="Google Sans" w:hAnsi="Google Sans"/>
            <w:color w:val="0000ee"/>
            <w:sz w:val="24"/>
            <w:szCs w:val="24"/>
            <w:u w:val="single"/>
            <w:rtl w:val="0"/>
          </w:rPr>
          <w:t xml:space="preserve">https://www.ibm.com/think/topics/graphrag</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Graph Database? A Complete Guide for 2026, accessed May 4, 2026, </w:t>
      </w:r>
      <w:hyperlink r:id="rId57">
        <w:r w:rsidDel="00000000" w:rsidR="00000000" w:rsidRPr="00000000">
          <w:rPr>
            <w:rFonts w:ascii="Google Sans" w:cs="Google Sans" w:eastAsia="Google Sans" w:hAnsi="Google Sans"/>
            <w:color w:val="0000ee"/>
            <w:sz w:val="24"/>
            <w:szCs w:val="24"/>
            <w:u w:val="single"/>
            <w:rtl w:val="0"/>
          </w:rPr>
          <w:t xml:space="preserve">https://nebula-graph.io/posts/what-is-a-graph-database-a-complete-guide-for-2026</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Pilot: Why the "Frontier Firm" Needs a Graph Intelligence Layer, accessed May 4, 2026, </w:t>
      </w:r>
      <w:hyperlink r:id="rId58">
        <w:r w:rsidDel="00000000" w:rsidR="00000000" w:rsidRPr="00000000">
          <w:rPr>
            <w:rFonts w:ascii="Google Sans" w:cs="Google Sans" w:eastAsia="Google Sans" w:hAnsi="Google Sans"/>
            <w:color w:val="0000ee"/>
            <w:sz w:val="24"/>
            <w:szCs w:val="24"/>
            <w:u w:val="single"/>
            <w:rtl w:val="0"/>
          </w:rPr>
          <w:t xml:space="preserve">https://builder.aws.com/content/3BqGkOg2X6mEl25kJqU6gqgQR51/beyond-the-pilot-why-the-frontier-firm-needs-a-graph-intelligence-layer</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Advancing RAG with Knowledge Graphs | HCLTech, accessed May 4, 2026, </w:t>
      </w:r>
      <w:hyperlink r:id="rId59">
        <w:r w:rsidDel="00000000" w:rsidR="00000000" w:rsidRPr="00000000">
          <w:rPr>
            <w:rFonts w:ascii="Google Sans" w:cs="Google Sans" w:eastAsia="Google Sans" w:hAnsi="Google Sans"/>
            <w:color w:val="0000ee"/>
            <w:sz w:val="24"/>
            <w:szCs w:val="24"/>
            <w:u w:val="single"/>
            <w:rtl w:val="0"/>
          </w:rPr>
          <w:t xml:space="preserve">https://www.hcltech.com/white-papers/applying-graph-rag-for-improved-llm-results</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GraphRAG? Complete Guide to Graph-Based RAG in 2026 - Articsledge, accessed May 4, 2026, </w:t>
      </w:r>
      <w:hyperlink r:id="rId60">
        <w:r w:rsidDel="00000000" w:rsidR="00000000" w:rsidRPr="00000000">
          <w:rPr>
            <w:rFonts w:ascii="Google Sans" w:cs="Google Sans" w:eastAsia="Google Sans" w:hAnsi="Google Sans"/>
            <w:color w:val="0000ee"/>
            <w:sz w:val="24"/>
            <w:szCs w:val="24"/>
            <w:u w:val="single"/>
            <w:rtl w:val="0"/>
          </w:rPr>
          <w:t xml:space="preserve">https://www.articsledge.com/post/graphrag-retrieval-augmented-generation</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Knowledge Graph Builder — First Release of 2025 - Neo4j, accessed May 4, 2026, </w:t>
      </w:r>
      <w:hyperlink r:id="rId61">
        <w:r w:rsidDel="00000000" w:rsidR="00000000" w:rsidRPr="00000000">
          <w:rPr>
            <w:rFonts w:ascii="Google Sans" w:cs="Google Sans" w:eastAsia="Google Sans" w:hAnsi="Google Sans"/>
            <w:color w:val="0000ee"/>
            <w:sz w:val="24"/>
            <w:szCs w:val="24"/>
            <w:u w:val="single"/>
            <w:rtl w:val="0"/>
          </w:rPr>
          <w:t xml:space="preserve">https://neo4j.com/blog/developer/llm-knowledge-graph-builder-release/</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RAG4GFM: Bridging Knowledge Gaps in Graph Foundation Models through Graph Retrieval Augmented Generation, accessed May 4, 2026, </w:t>
      </w:r>
      <w:hyperlink r:id="rId62">
        <w:r w:rsidDel="00000000" w:rsidR="00000000" w:rsidRPr="00000000">
          <w:rPr>
            <w:rFonts w:ascii="Google Sans" w:cs="Google Sans" w:eastAsia="Google Sans" w:hAnsi="Google Sans"/>
            <w:color w:val="0000ee"/>
            <w:sz w:val="24"/>
            <w:szCs w:val="24"/>
            <w:u w:val="single"/>
            <w:rtl w:val="0"/>
          </w:rPr>
          <w:t xml:space="preserve">https://neurips.cc/virtual/2025/poster/115562</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KGGen: Extracting Knowledge Graphs from Plain Text with Language Models, accessed May 4, 2026, </w:t>
      </w:r>
      <w:hyperlink r:id="rId63">
        <w:r w:rsidDel="00000000" w:rsidR="00000000" w:rsidRPr="00000000">
          <w:rPr>
            <w:rFonts w:ascii="Google Sans" w:cs="Google Sans" w:eastAsia="Google Sans" w:hAnsi="Google Sans"/>
            <w:color w:val="0000ee"/>
            <w:sz w:val="24"/>
            <w:szCs w:val="24"/>
            <w:u w:val="single"/>
            <w:rtl w:val="0"/>
          </w:rPr>
          <w:t xml:space="preserve">https://neurips.cc/virtual/2025/poster/117386</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StructRAG: Boosting Knowledge Intensive Reasoning of LLMs via ..., accessed May 4, 2026, </w:t>
      </w:r>
      <w:hyperlink r:id="rId64">
        <w:r w:rsidDel="00000000" w:rsidR="00000000" w:rsidRPr="00000000">
          <w:rPr>
            <w:rFonts w:ascii="Google Sans" w:cs="Google Sans" w:eastAsia="Google Sans" w:hAnsi="Google Sans"/>
            <w:color w:val="0000ee"/>
            <w:sz w:val="24"/>
            <w:szCs w:val="24"/>
            <w:u w:val="single"/>
            <w:rtl w:val="0"/>
          </w:rPr>
          <w:t xml:space="preserve">https://arxiv.org/abs/2410.08815</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ICLR 2025 Papers, accessed May 4, 2026, </w:t>
      </w:r>
      <w:hyperlink r:id="rId65">
        <w:r w:rsidDel="00000000" w:rsidR="00000000" w:rsidRPr="00000000">
          <w:rPr>
            <w:rFonts w:ascii="Google Sans" w:cs="Google Sans" w:eastAsia="Google Sans" w:hAnsi="Google Sans"/>
            <w:color w:val="0000ee"/>
            <w:sz w:val="24"/>
            <w:szCs w:val="24"/>
            <w:u w:val="single"/>
            <w:rtl w:val="0"/>
          </w:rPr>
          <w:t xml:space="preserve">https://iclr.cc/virtual/2025/papers.html</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DavidZWZ/Awesome-RAG-Reasoning - GitHub, accessed May 4, 2026, </w:t>
      </w:r>
      <w:hyperlink r:id="rId66">
        <w:r w:rsidDel="00000000" w:rsidR="00000000" w:rsidRPr="00000000">
          <w:rPr>
            <w:rFonts w:ascii="Google Sans" w:cs="Google Sans" w:eastAsia="Google Sans" w:hAnsi="Google Sans"/>
            <w:color w:val="0000ee"/>
            <w:sz w:val="24"/>
            <w:szCs w:val="24"/>
            <w:u w:val="single"/>
            <w:rtl w:val="0"/>
          </w:rPr>
          <w:t xml:space="preserve">https://github.com/DavidZWZ/Awesome-RAG-Reasoning</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StructRAG: Boosting Knowledge Intensive Reasoning of LLMs via Inference-time Hybrid Information Structurization - arXiv, accessed May 4, 2026, </w:t>
      </w:r>
      <w:hyperlink r:id="rId67">
        <w:r w:rsidDel="00000000" w:rsidR="00000000" w:rsidRPr="00000000">
          <w:rPr>
            <w:rFonts w:ascii="Google Sans" w:cs="Google Sans" w:eastAsia="Google Sans" w:hAnsi="Google Sans"/>
            <w:color w:val="0000ee"/>
            <w:sz w:val="24"/>
            <w:szCs w:val="24"/>
            <w:u w:val="single"/>
            <w:rtl w:val="0"/>
          </w:rPr>
          <w:t xml:space="preserve">https://arxiv.org/html/2410.08815v1</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Long-Document QA with Chain-of-Structured-Thought and Fine-Tuned SLMs | OpenReview, accessed May 4, 2026, </w:t>
      </w:r>
      <w:hyperlink r:id="rId68">
        <w:r w:rsidDel="00000000" w:rsidR="00000000" w:rsidRPr="00000000">
          <w:rPr>
            <w:rFonts w:ascii="Google Sans" w:cs="Google Sans" w:eastAsia="Google Sans" w:hAnsi="Google Sans"/>
            <w:color w:val="0000ee"/>
            <w:sz w:val="24"/>
            <w:szCs w:val="24"/>
            <w:u w:val="single"/>
            <w:rtl w:val="0"/>
          </w:rPr>
          <w:t xml:space="preserve">https://openreview.net/forum?id=faECRsdRav</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Credible Plan-Driven RAG Method for Multi-Hop Question Answering - arXiv, accessed May 4, 2026, </w:t>
      </w:r>
      <w:hyperlink r:id="rId69">
        <w:r w:rsidDel="00000000" w:rsidR="00000000" w:rsidRPr="00000000">
          <w:rPr>
            <w:rFonts w:ascii="Google Sans" w:cs="Google Sans" w:eastAsia="Google Sans" w:hAnsi="Google Sans"/>
            <w:color w:val="0000ee"/>
            <w:sz w:val="24"/>
            <w:szCs w:val="24"/>
            <w:u w:val="single"/>
            <w:rtl w:val="0"/>
          </w:rPr>
          <w:t xml:space="preserve">https://arxiv.org/html/2504.16787v2</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Graph-Enhanced RAG for Enterprise Question-Answering Systems - Lund University Publications, accessed May 4, 2026, </w:t>
      </w:r>
      <w:hyperlink r:id="rId70">
        <w:r w:rsidDel="00000000" w:rsidR="00000000" w:rsidRPr="00000000">
          <w:rPr>
            <w:rFonts w:ascii="Google Sans" w:cs="Google Sans" w:eastAsia="Google Sans" w:hAnsi="Google Sans"/>
            <w:color w:val="0000ee"/>
            <w:sz w:val="24"/>
            <w:szCs w:val="24"/>
            <w:u w:val="single"/>
            <w:rtl w:val="0"/>
          </w:rPr>
          <w:t xml:space="preserve">https://lup.lub.lu.se/student-papers/record/9223345/file/9223346.pdf</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to use Graphs in RAG: A Comprehensive Analysis for Graph Retrieval-Augmented Generation - arXiv, accessed May 4, 2026, </w:t>
      </w:r>
      <w:hyperlink r:id="rId71">
        <w:r w:rsidDel="00000000" w:rsidR="00000000" w:rsidRPr="00000000">
          <w:rPr>
            <w:rFonts w:ascii="Google Sans" w:cs="Google Sans" w:eastAsia="Google Sans" w:hAnsi="Google Sans"/>
            <w:color w:val="0000ee"/>
            <w:sz w:val="24"/>
            <w:szCs w:val="24"/>
            <w:u w:val="single"/>
            <w:rtl w:val="0"/>
          </w:rPr>
          <w:t xml:space="preserve">https://arxiv.org/html/2506.05690v3</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MDKAG: Retrieval-Augmented Educational QA Powered by a Multimodal Disciplinary Knowledge Graph - MDPI, accessed May 4, 2026, </w:t>
      </w:r>
      <w:hyperlink r:id="rId72">
        <w:r w:rsidDel="00000000" w:rsidR="00000000" w:rsidRPr="00000000">
          <w:rPr>
            <w:rFonts w:ascii="Google Sans" w:cs="Google Sans" w:eastAsia="Google Sans" w:hAnsi="Google Sans"/>
            <w:color w:val="0000ee"/>
            <w:sz w:val="24"/>
            <w:szCs w:val="24"/>
            <w:u w:val="single"/>
            <w:rtl w:val="0"/>
          </w:rPr>
          <w:t xml:space="preserve">https://www.mdpi.com/2076-3417/15/16/9095</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Knowledge-Oriented Retrieval-Augmented Generation - arXiv, accessed May 4, 2026, </w:t>
      </w:r>
      <w:hyperlink r:id="rId73">
        <w:r w:rsidDel="00000000" w:rsidR="00000000" w:rsidRPr="00000000">
          <w:rPr>
            <w:rFonts w:ascii="Google Sans" w:cs="Google Sans" w:eastAsia="Google Sans" w:hAnsi="Google Sans"/>
            <w:color w:val="0000ee"/>
            <w:sz w:val="24"/>
            <w:szCs w:val="24"/>
            <w:u w:val="single"/>
            <w:rtl w:val="0"/>
          </w:rPr>
          <w:t xml:space="preserve">https://arxiv.org/html/2503.10677v2</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Retrieval to Reasoning: A Unified Framework for RAG, CAG, KAG, and Feedback-Augmented Generation - ResearchGate, accessed May 4, 2026,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https://www.researchgate.net/publication/391802076_From_Retrieval_to_Reasoning_A_Unified_Framework_for_RAG_CAG_KAG_and_Feedback-Augmented_Generation</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as a Language for Emergent Organization in Complex Systems: Multiscale Structure, Higher-Order Interactions, and Early Warning Signals - arXiv, accessed May 4, 2026, </w:t>
      </w:r>
      <w:hyperlink r:id="rId75">
        <w:r w:rsidDel="00000000" w:rsidR="00000000" w:rsidRPr="00000000">
          <w:rPr>
            <w:rFonts w:ascii="Google Sans" w:cs="Google Sans" w:eastAsia="Google Sans" w:hAnsi="Google Sans"/>
            <w:color w:val="0000ee"/>
            <w:sz w:val="24"/>
            <w:szCs w:val="24"/>
            <w:u w:val="single"/>
            <w:rtl w:val="0"/>
          </w:rPr>
          <w:t xml:space="preserve">https://arxiv.org/html/2603.25760v1</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Topology Unveiled: A New Horizon for Economic and Financial Modeling - ResearchGate, accessed May 4, 2026,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https://www.researchgate.net/publication/388216048_Topology_Unveiled_A_New_Horizon_for_Economic_and_Financial_Modeling</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Michael Schaub, accessed May 4, 2026, </w:t>
      </w:r>
      <w:hyperlink r:id="rId77">
        <w:r w:rsidDel="00000000" w:rsidR="00000000" w:rsidRPr="00000000">
          <w:rPr>
            <w:rFonts w:ascii="Google Sans" w:cs="Google Sans" w:eastAsia="Google Sans" w:hAnsi="Google Sans"/>
            <w:color w:val="0000ee"/>
            <w:sz w:val="24"/>
            <w:szCs w:val="24"/>
            <w:u w:val="single"/>
            <w:rtl w:val="0"/>
          </w:rPr>
          <w:t xml:space="preserve">https://michaelschaub.github.io/Publications/</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 Pietro Liò | Department of Computer Science and Technology - University of Cambridge, accessed May 4, 2026, </w:t>
      </w:r>
      <w:hyperlink r:id="rId78">
        <w:r w:rsidDel="00000000" w:rsidR="00000000" w:rsidRPr="00000000">
          <w:rPr>
            <w:rFonts w:ascii="Google Sans" w:cs="Google Sans" w:eastAsia="Google Sans" w:hAnsi="Google Sans"/>
            <w:color w:val="0000ee"/>
            <w:sz w:val="24"/>
            <w:szCs w:val="24"/>
            <w:u w:val="single"/>
            <w:rtl w:val="0"/>
          </w:rPr>
          <w:t xml:space="preserve">https://www.cst.cam.ac.uk/people/pl219</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Unveiled: A New Horizon for Economic and Financial Modeling - MDPI, accessed May 4, 2026, </w:t>
      </w:r>
      <w:hyperlink r:id="rId79">
        <w:r w:rsidDel="00000000" w:rsidR="00000000" w:rsidRPr="00000000">
          <w:rPr>
            <w:rFonts w:ascii="Google Sans" w:cs="Google Sans" w:eastAsia="Google Sans" w:hAnsi="Google Sans"/>
            <w:color w:val="0000ee"/>
            <w:sz w:val="24"/>
            <w:szCs w:val="24"/>
            <w:u w:val="single"/>
            <w:rtl w:val="0"/>
          </w:rPr>
          <w:t xml:space="preserve">https://www.mdpi.com/2227-7390/13/2/325</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Mar 2025 - arXiv, accessed May 4, 2026, </w:t>
      </w:r>
      <w:hyperlink r:id="rId80">
        <w:r w:rsidDel="00000000" w:rsidR="00000000" w:rsidRPr="00000000">
          <w:rPr>
            <w:rFonts w:ascii="Google Sans" w:cs="Google Sans" w:eastAsia="Google Sans" w:hAnsi="Google Sans"/>
            <w:color w:val="0000ee"/>
            <w:sz w:val="24"/>
            <w:szCs w:val="24"/>
            <w:u w:val="single"/>
            <w:rtl w:val="0"/>
          </w:rPr>
          <w:t xml:space="preserve">https://www.arxiv.org/list/cs.LG/2025-03?skip=1200&amp;show=1000</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Ordered Topological Deep Learning: a Network Modeling Case Study - arXiv, accessed May 4, 2026, </w:t>
      </w:r>
      <w:hyperlink r:id="rId81">
        <w:r w:rsidDel="00000000" w:rsidR="00000000" w:rsidRPr="00000000">
          <w:rPr>
            <w:rFonts w:ascii="Google Sans" w:cs="Google Sans" w:eastAsia="Google Sans" w:hAnsi="Google Sans"/>
            <w:color w:val="0000ee"/>
            <w:sz w:val="24"/>
            <w:szCs w:val="24"/>
            <w:u w:val="single"/>
            <w:rtl w:val="0"/>
          </w:rPr>
          <w:t xml:space="preserve">https://arxiv.org/html/2503.16746</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TopoBench: A Framework for Benchmarking Topological Deep Learning - arXiv, accessed May 4, 2026, </w:t>
      </w:r>
      <w:hyperlink r:id="rId82">
        <w:r w:rsidDel="00000000" w:rsidR="00000000" w:rsidRPr="00000000">
          <w:rPr>
            <w:rFonts w:ascii="Google Sans" w:cs="Google Sans" w:eastAsia="Google Sans" w:hAnsi="Google Sans"/>
            <w:color w:val="0000ee"/>
            <w:sz w:val="24"/>
            <w:szCs w:val="24"/>
            <w:u w:val="single"/>
            <w:rtl w:val="0"/>
          </w:rPr>
          <w:t xml:space="preserve">https://arxiv.org/html/2406.06642v3</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GraphUniverse: Enabling Systematic Evaluation of Inductive Generalization - ResearchGate, accessed May 4, 2026, </w:t>
      </w:r>
      <w:hyperlink r:id="rId83">
        <w:r w:rsidDel="00000000" w:rsidR="00000000" w:rsidRPr="00000000">
          <w:rPr>
            <w:rFonts w:ascii="Google Sans" w:cs="Google Sans" w:eastAsia="Google Sans" w:hAnsi="Google Sans"/>
            <w:color w:val="0000ee"/>
            <w:sz w:val="24"/>
            <w:szCs w:val="24"/>
            <w:u w:val="single"/>
            <w:rtl w:val="0"/>
          </w:rPr>
          <w:t xml:space="preserve">https://www.researchgate.net/publication/395848884_GraphUniverse_Enabling_Systematic_Evaluation_of_Inductive_Generalization</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Hypergraph Factor Model for Stock Prediction | PDF | Machine Learning - Scribd, accessed May 4, 2026, </w:t>
      </w:r>
      <w:hyperlink r:id="rId84">
        <w:r w:rsidDel="00000000" w:rsidR="00000000" w:rsidRPr="00000000">
          <w:rPr>
            <w:rFonts w:ascii="Google Sans" w:cs="Google Sans" w:eastAsia="Google Sans" w:hAnsi="Google Sans"/>
            <w:color w:val="0000ee"/>
            <w:sz w:val="24"/>
            <w:szCs w:val="24"/>
            <w:u w:val="single"/>
            <w:rtl w:val="0"/>
          </w:rPr>
          <w:t xml:space="preserve">https://www.scribd.com/document/941461412/FactorGCL</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FactorGCL: A Hypergraph-Based Factor Model with Temporal Residual Contrastive Learning for Stock Returns Prediction, accessed May 4, 2026, </w:t>
      </w:r>
      <w:hyperlink r:id="rId85">
        <w:r w:rsidDel="00000000" w:rsidR="00000000" w:rsidRPr="00000000">
          <w:rPr>
            <w:rFonts w:ascii="Google Sans" w:cs="Google Sans" w:eastAsia="Google Sans" w:hAnsi="Google Sans"/>
            <w:color w:val="0000ee"/>
            <w:sz w:val="24"/>
            <w:szCs w:val="24"/>
            <w:u w:val="single"/>
            <w:rtl w:val="0"/>
          </w:rPr>
          <w:t xml:space="preserve">https://ojs.aaai.org/index.php/AAAI/article/view/31993/34148</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FactorGCL: A Hypergraph-Based Factor Model with Temporal Residual Contrastive Learning for Stock Returns Prediction - arXiv, accessed May 4, 2026, </w:t>
      </w:r>
      <w:hyperlink r:id="rId86">
        <w:r w:rsidDel="00000000" w:rsidR="00000000" w:rsidRPr="00000000">
          <w:rPr>
            <w:rFonts w:ascii="Google Sans" w:cs="Google Sans" w:eastAsia="Google Sans" w:hAnsi="Google Sans"/>
            <w:color w:val="0000ee"/>
            <w:sz w:val="24"/>
            <w:szCs w:val="24"/>
            <w:u w:val="single"/>
            <w:rtl w:val="0"/>
          </w:rPr>
          <w:t xml:space="preserve">https://arxiv.org/html/2502.05218v1</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FactorGCL: A Hypergraph-Based Factor Model with Temporal Residual Contrastive Learning for Stock Returns Prediction - ResearchGate, accessed May 4, 2026,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https://www.researchgate.net/publication/388884145_FactorGCL_A_Hypergraph-Based_Factor_Model_with_Temporal_Residual_Contrastive_Learning_for_Stock_Returns_Prediction</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Poster HyperIMTS: Hypergraph Neural Network for Irregular ..., accessed May 4, 2026, </w:t>
      </w:r>
      <w:hyperlink r:id="rId88">
        <w:r w:rsidDel="00000000" w:rsidR="00000000" w:rsidRPr="00000000">
          <w:rPr>
            <w:rFonts w:ascii="Google Sans" w:cs="Google Sans" w:eastAsia="Google Sans" w:hAnsi="Google Sans"/>
            <w:color w:val="0000ee"/>
            <w:sz w:val="24"/>
            <w:szCs w:val="24"/>
            <w:u w:val="single"/>
            <w:rtl w:val="0"/>
          </w:rPr>
          <w:t xml:space="preserve">https://icml.cc/virtual/2025/poster/43741</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2025 Papers, accessed May 4, 2026, </w:t>
      </w:r>
      <w:hyperlink r:id="rId89">
        <w:r w:rsidDel="00000000" w:rsidR="00000000" w:rsidRPr="00000000">
          <w:rPr>
            <w:rFonts w:ascii="Google Sans" w:cs="Google Sans" w:eastAsia="Google Sans" w:hAnsi="Google Sans"/>
            <w:color w:val="0000ee"/>
            <w:sz w:val="24"/>
            <w:szCs w:val="24"/>
            <w:u w:val="single"/>
            <w:rtl w:val="0"/>
          </w:rPr>
          <w:t xml:space="preserve">https://icml.cc/virtual/2025/papers.html</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HGTS-Former: Hierarchical HyperGraph Transformer for Multivariate Time Series Analysis | Request PDF - ResearchGate, accessed May 4, 2026, </w:t>
      </w:r>
      <w:hyperlink r:id="rId90">
        <w:r w:rsidDel="00000000" w:rsidR="00000000" w:rsidRPr="00000000">
          <w:rPr>
            <w:rFonts w:ascii="Google Sans" w:cs="Google Sans" w:eastAsia="Google Sans" w:hAnsi="Google Sans"/>
            <w:color w:val="0000ee"/>
            <w:sz w:val="24"/>
            <w:szCs w:val="24"/>
            <w:u w:val="single"/>
            <w:rtl w:val="0"/>
          </w:rPr>
          <w:t xml:space="preserve">https://www.researchgate.net/publication/394294232_HGTS-Former_Hierarchical_HyperGraph_Transformer_for_Multivariate_Time_Series_Analysis</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HyperIMTS: Hypergraph Neural Network for Irregular Multivariate Time Series Forecasting, accessed May 4, 2026, </w:t>
      </w:r>
      <w:hyperlink r:id="rId91">
        <w:r w:rsidDel="00000000" w:rsidR="00000000" w:rsidRPr="00000000">
          <w:rPr>
            <w:rFonts w:ascii="Google Sans" w:cs="Google Sans" w:eastAsia="Google Sans" w:hAnsi="Google Sans"/>
            <w:color w:val="0000ee"/>
            <w:sz w:val="24"/>
            <w:szCs w:val="24"/>
            <w:u w:val="single"/>
            <w:rtl w:val="0"/>
          </w:rPr>
          <w:t xml:space="preserve">https://www.researchgate.net/publication/392085715_HyperIMTS_Hypergraph_Neural_Network_for_Irregular_Multivariate_Time_Series_Forecasting</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Stefan Zohren - CatalyzeX, accessed May 4, 2026, </w:t>
      </w:r>
      <w:hyperlink r:id="rId92">
        <w:r w:rsidDel="00000000" w:rsidR="00000000" w:rsidRPr="00000000">
          <w:rPr>
            <w:rFonts w:ascii="Google Sans" w:cs="Google Sans" w:eastAsia="Google Sans" w:hAnsi="Google Sans"/>
            <w:color w:val="0000ee"/>
            <w:sz w:val="24"/>
            <w:szCs w:val="24"/>
            <w:u w:val="single"/>
            <w:rtl w:val="0"/>
          </w:rPr>
          <w:t xml:space="preserve">https://www.catalyzex.com/author/Stefan%20Zohren</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 Order Book (LOB) Data - Emergent Mind, accessed May 4, 2026, </w:t>
      </w:r>
      <w:hyperlink r:id="rId93">
        <w:r w:rsidDel="00000000" w:rsidR="00000000" w:rsidRPr="00000000">
          <w:rPr>
            <w:rFonts w:ascii="Google Sans" w:cs="Google Sans" w:eastAsia="Google Sans" w:hAnsi="Google Sans"/>
            <w:color w:val="0000ee"/>
            <w:sz w:val="24"/>
            <w:szCs w:val="24"/>
            <w:u w:val="single"/>
            <w:rtl w:val="0"/>
          </w:rPr>
          <w:t xml:space="preserve">https://www.emergentmind.com/topics/limit-order-book-lob-data</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Painting the market: generative diffusion models for financial limit order book simulation and forecasting | Request PDF - ResearchGate, accessed May 4, 2026, </w:t>
      </w:r>
      <w:hyperlink r:id="rId94">
        <w:r w:rsidDel="00000000" w:rsidR="00000000" w:rsidRPr="00000000">
          <w:rPr>
            <w:rFonts w:ascii="Google Sans" w:cs="Google Sans" w:eastAsia="Google Sans" w:hAnsi="Google Sans"/>
            <w:color w:val="0000ee"/>
            <w:sz w:val="24"/>
            <w:szCs w:val="24"/>
            <w:u w:val="single"/>
            <w:rtl w:val="0"/>
          </w:rPr>
          <w:t xml:space="preserve">https://www.researchgate.net/publication/395339618_Painting_the_market_generative_diffusion_models_for_financial_limit_order_book_simulation_and_forecasting</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Liquidity-Aware Bond Yields using Causal GANs and Deep Reinforcement Learning with LLM Evaluation - arXiv, accessed May 4, 2026, </w:t>
      </w:r>
      <w:hyperlink r:id="rId95">
        <w:r w:rsidDel="00000000" w:rsidR="00000000" w:rsidRPr="00000000">
          <w:rPr>
            <w:rFonts w:ascii="Google Sans" w:cs="Google Sans" w:eastAsia="Google Sans" w:hAnsi="Google Sans"/>
            <w:color w:val="0000ee"/>
            <w:sz w:val="24"/>
            <w:szCs w:val="24"/>
            <w:u w:val="single"/>
            <w:rtl w:val="0"/>
          </w:rPr>
          <w:t xml:space="preserve">https://arxiv.org/html/2502.17011v2</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Forecasting with Differential Graph Transformer | by Kevin Xiang Li - Medium, accessed May 4, 2026, </w:t>
      </w:r>
      <w:hyperlink r:id="rId96">
        <w:r w:rsidDel="00000000" w:rsidR="00000000" w:rsidRPr="00000000">
          <w:rPr>
            <w:rFonts w:ascii="Google Sans" w:cs="Google Sans" w:eastAsia="Google Sans" w:hAnsi="Google Sans"/>
            <w:color w:val="0000ee"/>
            <w:sz w:val="24"/>
            <w:szCs w:val="24"/>
            <w:u w:val="single"/>
            <w:rtl w:val="0"/>
          </w:rPr>
          <w:t xml:space="preserve">https://medium.com/stanford-cs224w/stock-market-forecasting-with-differential-graph-transformer-62d095ebc821</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VeritasYin/STGCN_IJCAI-18: [IJCAI'18] Spatio-Temporal Graph Convolutional Networks - GitHub, accessed May 4, 2026, </w:t>
      </w:r>
      <w:hyperlink r:id="rId97">
        <w:r w:rsidDel="00000000" w:rsidR="00000000" w:rsidRPr="00000000">
          <w:rPr>
            <w:rFonts w:ascii="Google Sans" w:cs="Google Sans" w:eastAsia="Google Sans" w:hAnsi="Google Sans"/>
            <w:color w:val="0000ee"/>
            <w:sz w:val="24"/>
            <w:szCs w:val="24"/>
            <w:u w:val="single"/>
            <w:rtl w:val="0"/>
          </w:rPr>
          <w:t xml:space="preserve">https://github.com/VeritasYin/STGCN_IJCAI-18</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TopoBench: A comprehensive benchmarking framework for Topological Deep Learning models and datasets., accessed May 4, 2026, </w:t>
      </w:r>
      <w:hyperlink r:id="rId98">
        <w:r w:rsidDel="00000000" w:rsidR="00000000" w:rsidRPr="00000000">
          <w:rPr>
            <w:rFonts w:ascii="Google Sans" w:cs="Google Sans" w:eastAsia="Google Sans" w:hAnsi="Google Sans"/>
            <w:color w:val="0000ee"/>
            <w:sz w:val="24"/>
            <w:szCs w:val="24"/>
            <w:u w:val="single"/>
            <w:rtl w:val="0"/>
          </w:rPr>
          <w:t xml:space="preserve">https://geometric-intelligence.github.io/TopoBench/</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TopoBench is a Python library designed to standardize benchmarking and accelerate research in Topological Deep Learning - GitHub, accessed May 4, 2026, </w:t>
      </w:r>
      <w:hyperlink r:id="rId99">
        <w:r w:rsidDel="00000000" w:rsidR="00000000" w:rsidRPr="00000000">
          <w:rPr>
            <w:rFonts w:ascii="Google Sans" w:cs="Google Sans" w:eastAsia="Google Sans" w:hAnsi="Google Sans"/>
            <w:color w:val="0000ee"/>
            <w:sz w:val="24"/>
            <w:szCs w:val="24"/>
            <w:u w:val="single"/>
            <w:rtl w:val="0"/>
          </w:rPr>
          <w:t xml:space="preserve">https://github.com/geometric-intelligence/TopoBench</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TopoBench: A Framework for Benchmarking Topological Deep Learning | Geometric Intelligence Lab, accessed May 4, 2026, </w:t>
      </w:r>
      <w:hyperlink r:id="rId100">
        <w:r w:rsidDel="00000000" w:rsidR="00000000" w:rsidRPr="00000000">
          <w:rPr>
            <w:rFonts w:ascii="Google Sans" w:cs="Google Sans" w:eastAsia="Google Sans" w:hAnsi="Google Sans"/>
            <w:color w:val="0000ee"/>
            <w:sz w:val="24"/>
            <w:szCs w:val="24"/>
            <w:u w:val="single"/>
            <w:rtl w:val="0"/>
          </w:rPr>
          <w:t xml:space="preserve">https://gi.ece.ucsb.edu/topobench-framework-benchmarking-topological-deep-learning</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TopoBench: A Framework for Benchmarking Topological Deep Learning - arXiv, accessed May 4, 2026, </w:t>
      </w:r>
      <w:hyperlink r:id="rId101">
        <w:r w:rsidDel="00000000" w:rsidR="00000000" w:rsidRPr="00000000">
          <w:rPr>
            <w:rFonts w:ascii="Google Sans" w:cs="Google Sans" w:eastAsia="Google Sans" w:hAnsi="Google Sans"/>
            <w:color w:val="0000ee"/>
            <w:sz w:val="24"/>
            <w:szCs w:val="24"/>
            <w:u w:val="single"/>
            <w:rtl w:val="0"/>
          </w:rPr>
          <w:t xml:space="preserve">https://arxiv.org/html/2406.06642v2</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Influential KDD Papers (2025-09 Version), accessed May 4, 2026, </w:t>
      </w:r>
      <w:hyperlink r:id="rId102">
        <w:r w:rsidDel="00000000" w:rsidR="00000000" w:rsidRPr="00000000">
          <w:rPr>
            <w:rFonts w:ascii="Google Sans" w:cs="Google Sans" w:eastAsia="Google Sans" w:hAnsi="Google Sans"/>
            <w:color w:val="0000ee"/>
            <w:sz w:val="24"/>
            <w:szCs w:val="24"/>
            <w:u w:val="single"/>
            <w:rtl w:val="0"/>
          </w:rPr>
          <w:t xml:space="preserve">https://www.paperdigest.org/2025/09/most-influential-kdd-papers-2025-09-version/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0537799_Mamba_Meets_Financial_Markets_A_Graph-Mamba_Approach_for_Stock_Price_Prediction" TargetMode="External"/><Relationship Id="rId42" Type="http://schemas.openxmlformats.org/officeDocument/2006/relationships/hyperlink" Target="https://www.researchgate.net/publication/387179259_Graph_Contrastive_Pre-training_for_Anti-money_Laundering" TargetMode="External"/><Relationship Id="rId41" Type="http://schemas.openxmlformats.org/officeDocument/2006/relationships/hyperlink" Target="https://www.researchgate.net/publication/372671981_CLDG_Contrastive_Learning_on_Dynamic_Graphs" TargetMode="External"/><Relationship Id="rId44" Type="http://schemas.openxmlformats.org/officeDocument/2006/relationships/hyperlink" Target="https://www.researchgate.net/publication/399709713_Deep_Learning_Approaches_for_Anti-Money_Laundering_on_Mobile_Transactions_Review_Framework_and_Directions" TargetMode="External"/><Relationship Id="rId43" Type="http://schemas.openxmlformats.org/officeDocument/2006/relationships/hyperlink" Target="https://ieeexplore.ieee.org/document/11346961" TargetMode="External"/><Relationship Id="rId46" Type="http://schemas.openxmlformats.org/officeDocument/2006/relationships/hyperlink" Target="https://ink.library.smu.edu.sg/cgi/viewcontent.cgi?article=12052&amp;context=sis_research" TargetMode="External"/><Relationship Id="rId45" Type="http://schemas.openxmlformats.org/officeDocument/2006/relationships/hyperlink" Target="https://www.researchgate.net/publication/404284525_Evaluating_fraud_detection_algorithms_in_a_decentralized_scenario" TargetMode="External"/><Relationship Id="rId48" Type="http://schemas.openxmlformats.org/officeDocument/2006/relationships/hyperlink" Target="https://ieeexplore.ieee.org/document/10917672/" TargetMode="External"/><Relationship Id="rId47" Type="http://schemas.openxmlformats.org/officeDocument/2006/relationships/hyperlink" Target="https://www.ajmjournal.com/HTML_Papers/Asian%20Journal%20of%20Management__PID__2026-17-1-2.html" TargetMode="External"/><Relationship Id="rId49" Type="http://schemas.openxmlformats.org/officeDocument/2006/relationships/hyperlink" Target="https://arxiv.org/html/2507.01980v1" TargetMode="External"/><Relationship Id="rId102" Type="http://schemas.openxmlformats.org/officeDocument/2006/relationships/hyperlink" Target="https://www.paperdigest.org/2025/09/most-influential-kdd-papers-2025-09-version/" TargetMode="External"/><Relationship Id="rId101" Type="http://schemas.openxmlformats.org/officeDocument/2006/relationships/hyperlink" Target="https://arxiv.org/html/2406.06642v2" TargetMode="External"/><Relationship Id="rId100" Type="http://schemas.openxmlformats.org/officeDocument/2006/relationships/hyperlink" Target="https://gi.ece.ucsb.edu/topobench-framework-benchmarking-topological-deep-learning" TargetMode="External"/><Relationship Id="rId31" Type="http://schemas.openxmlformats.org/officeDocument/2006/relationships/image" Target="media/image1.png"/><Relationship Id="rId30" Type="http://schemas.openxmlformats.org/officeDocument/2006/relationships/image" Target="media/image16.png"/><Relationship Id="rId33" Type="http://schemas.openxmlformats.org/officeDocument/2006/relationships/hyperlink" Target="https://www.articsledge.com/post/graph-neural-network-gnn" TargetMode="External"/><Relationship Id="rId32" Type="http://schemas.openxmlformats.org/officeDocument/2006/relationships/image" Target="media/image3.png"/><Relationship Id="rId35" Type="http://schemas.openxmlformats.org/officeDocument/2006/relationships/hyperlink" Target="https://www.researchgate.net/publication/394573113_Graph_Learning-Empowered_Financial_Fraud_Detection_Progress_and_Future_Directions" TargetMode="External"/><Relationship Id="rId34" Type="http://schemas.openxmlformats.org/officeDocument/2006/relationships/hyperlink" Target="https://www.researchgate.net/publication/376201609_FraudLens_Graph_Structural_Learning_for_Bitcoin_Illicit_Activity_Identification" TargetMode="External"/><Relationship Id="rId37" Type="http://schemas.openxmlformats.org/officeDocument/2006/relationships/hyperlink" Target="https://www.researchgate.net/publication/355895699_DynGraphTrans_Dynamic_Graph_Embedding_via_Modified_Universal_Transformer_Networks_for_Financial_Transaction_Data" TargetMode="External"/><Relationship Id="rId36" Type="http://schemas.openxmlformats.org/officeDocument/2006/relationships/hyperlink" Target="https://www.researchgate.net/publication/394559360_Temporal_Heterogeneous_Graph_Contrastive_Learning_for_Fraud_Detection_in_Credit_Card_Transactions" TargetMode="External"/><Relationship Id="rId39" Type="http://schemas.openxmlformats.org/officeDocument/2006/relationships/hyperlink" Target="https://openreview.net/pdf?id=vEtDApqkNR" TargetMode="External"/><Relationship Id="rId38" Type="http://schemas.openxmlformats.org/officeDocument/2006/relationships/hyperlink" Target="https://arxiv.org/html/2408.01129v8" TargetMode="External"/><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24.png"/><Relationship Id="rId24" Type="http://schemas.openxmlformats.org/officeDocument/2006/relationships/image" Target="media/image27.png"/><Relationship Id="rId23" Type="http://schemas.openxmlformats.org/officeDocument/2006/relationships/image" Target="media/image26.png"/><Relationship Id="rId26" Type="http://schemas.openxmlformats.org/officeDocument/2006/relationships/image" Target="media/image2.png"/><Relationship Id="rId25" Type="http://schemas.openxmlformats.org/officeDocument/2006/relationships/image" Target="media/image21.png"/><Relationship Id="rId28" Type="http://schemas.openxmlformats.org/officeDocument/2006/relationships/image" Target="media/image4.png"/><Relationship Id="rId27" Type="http://schemas.openxmlformats.org/officeDocument/2006/relationships/image" Target="media/image5.png"/><Relationship Id="rId29" Type="http://schemas.openxmlformats.org/officeDocument/2006/relationships/image" Target="media/image15.png"/><Relationship Id="rId95" Type="http://schemas.openxmlformats.org/officeDocument/2006/relationships/hyperlink" Target="https://arxiv.org/html/2502.17011v2" TargetMode="External"/><Relationship Id="rId94" Type="http://schemas.openxmlformats.org/officeDocument/2006/relationships/hyperlink" Target="https://www.researchgate.net/publication/395339618_Painting_the_market_generative_diffusion_models_for_financial_limit_order_book_simulation_and_forecasting" TargetMode="External"/><Relationship Id="rId97" Type="http://schemas.openxmlformats.org/officeDocument/2006/relationships/hyperlink" Target="https://github.com/VeritasYin/STGCN_IJCAI-18" TargetMode="External"/><Relationship Id="rId96" Type="http://schemas.openxmlformats.org/officeDocument/2006/relationships/hyperlink" Target="https://medium.com/stanford-cs224w/stock-market-forecasting-with-differential-graph-transformer-62d095ebc821" TargetMode="External"/><Relationship Id="rId11" Type="http://schemas.openxmlformats.org/officeDocument/2006/relationships/image" Target="media/image7.png"/><Relationship Id="rId99" Type="http://schemas.openxmlformats.org/officeDocument/2006/relationships/hyperlink" Target="https://github.com/geometric-intelligence/TopoBench" TargetMode="External"/><Relationship Id="rId10" Type="http://schemas.openxmlformats.org/officeDocument/2006/relationships/image" Target="media/image8.png"/><Relationship Id="rId98" Type="http://schemas.openxmlformats.org/officeDocument/2006/relationships/hyperlink" Target="https://geometric-intelligence.github.io/TopoBench/" TargetMode="External"/><Relationship Id="rId13" Type="http://schemas.openxmlformats.org/officeDocument/2006/relationships/image" Target="media/image9.png"/><Relationship Id="rId12" Type="http://schemas.openxmlformats.org/officeDocument/2006/relationships/image" Target="media/image22.png"/><Relationship Id="rId91" Type="http://schemas.openxmlformats.org/officeDocument/2006/relationships/hyperlink" Target="https://www.researchgate.net/publication/392085715_HyperIMTS_Hypergraph_Neural_Network_for_Irregular_Multivariate_Time_Series_Forecasting" TargetMode="External"/><Relationship Id="rId90" Type="http://schemas.openxmlformats.org/officeDocument/2006/relationships/hyperlink" Target="https://www.researchgate.net/publication/394294232_HGTS-Former_Hierarchical_HyperGraph_Transformer_for_Multivariate_Time_Series_Analysis" TargetMode="External"/><Relationship Id="rId93" Type="http://schemas.openxmlformats.org/officeDocument/2006/relationships/hyperlink" Target="https://www.emergentmind.com/topics/limit-order-book-lob-data" TargetMode="External"/><Relationship Id="rId92" Type="http://schemas.openxmlformats.org/officeDocument/2006/relationships/hyperlink" Target="https://www.catalyzex.com/author/Stefan%20Zohren" TargetMode="External"/><Relationship Id="rId15" Type="http://schemas.openxmlformats.org/officeDocument/2006/relationships/image" Target="media/image17.png"/><Relationship Id="rId14" Type="http://schemas.openxmlformats.org/officeDocument/2006/relationships/image" Target="media/image14.png"/><Relationship Id="rId17" Type="http://schemas.openxmlformats.org/officeDocument/2006/relationships/image" Target="media/image19.png"/><Relationship Id="rId16" Type="http://schemas.openxmlformats.org/officeDocument/2006/relationships/image" Target="media/image23.png"/><Relationship Id="rId19" Type="http://schemas.openxmlformats.org/officeDocument/2006/relationships/image" Target="media/image20.png"/><Relationship Id="rId18" Type="http://schemas.openxmlformats.org/officeDocument/2006/relationships/image" Target="media/image25.png"/><Relationship Id="rId84" Type="http://schemas.openxmlformats.org/officeDocument/2006/relationships/hyperlink" Target="https://www.scribd.com/document/941461412/FactorGCL" TargetMode="External"/><Relationship Id="rId83" Type="http://schemas.openxmlformats.org/officeDocument/2006/relationships/hyperlink" Target="https://www.researchgate.net/publication/395848884_GraphUniverse_Enabling_Systematic_Evaluation_of_Inductive_Generalization" TargetMode="External"/><Relationship Id="rId86" Type="http://schemas.openxmlformats.org/officeDocument/2006/relationships/hyperlink" Target="https://arxiv.org/html/2502.05218v1" TargetMode="External"/><Relationship Id="rId85" Type="http://schemas.openxmlformats.org/officeDocument/2006/relationships/hyperlink" Target="https://ojs.aaai.org/index.php/AAAI/article/view/31993/34148" TargetMode="External"/><Relationship Id="rId88" Type="http://schemas.openxmlformats.org/officeDocument/2006/relationships/hyperlink" Target="https://icml.cc/virtual/2025/poster/43741" TargetMode="External"/><Relationship Id="rId87" Type="http://schemas.openxmlformats.org/officeDocument/2006/relationships/hyperlink" Target="https://www.researchgate.net/publication/388884145_FactorGCL_A_Hypergraph-Based_Factor_Model_with_Temporal_Residual_Contrastive_Learning_for_Stock_Returns_Prediction" TargetMode="External"/><Relationship Id="rId89" Type="http://schemas.openxmlformats.org/officeDocument/2006/relationships/hyperlink" Target="https://icml.cc/virtual/2025/papers.html" TargetMode="External"/><Relationship Id="rId80" Type="http://schemas.openxmlformats.org/officeDocument/2006/relationships/hyperlink" Target="https://www.arxiv.org/list/cs.LG/2025-03?skip=1200&amp;show=1000" TargetMode="External"/><Relationship Id="rId82" Type="http://schemas.openxmlformats.org/officeDocument/2006/relationships/hyperlink" Target="https://arxiv.org/html/2406.06642v3" TargetMode="External"/><Relationship Id="rId81" Type="http://schemas.openxmlformats.org/officeDocument/2006/relationships/hyperlink" Target="https://arxiv.org/html/2503.167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12.png"/><Relationship Id="rId73" Type="http://schemas.openxmlformats.org/officeDocument/2006/relationships/hyperlink" Target="https://arxiv.org/html/2503.10677v2" TargetMode="External"/><Relationship Id="rId72" Type="http://schemas.openxmlformats.org/officeDocument/2006/relationships/hyperlink" Target="https://www.mdpi.com/2076-3417/15/16/9095" TargetMode="External"/><Relationship Id="rId75" Type="http://schemas.openxmlformats.org/officeDocument/2006/relationships/hyperlink" Target="https://arxiv.org/html/2603.25760v1" TargetMode="External"/><Relationship Id="rId74" Type="http://schemas.openxmlformats.org/officeDocument/2006/relationships/hyperlink" Target="https://www.researchgate.net/publication/391802076_From_Retrieval_to_Reasoning_A_Unified_Framework_for_RAG_CAG_KAG_and_Feedback-Augmented_Generation" TargetMode="External"/><Relationship Id="rId77" Type="http://schemas.openxmlformats.org/officeDocument/2006/relationships/hyperlink" Target="https://michaelschaub.github.io/Publications/" TargetMode="External"/><Relationship Id="rId76" Type="http://schemas.openxmlformats.org/officeDocument/2006/relationships/hyperlink" Target="https://www.researchgate.net/publication/388216048_Topology_Unveiled_A_New_Horizon_for_Economic_and_Financial_Modeling" TargetMode="External"/><Relationship Id="rId79" Type="http://schemas.openxmlformats.org/officeDocument/2006/relationships/hyperlink" Target="https://www.mdpi.com/2227-7390/13/2/325" TargetMode="External"/><Relationship Id="rId78" Type="http://schemas.openxmlformats.org/officeDocument/2006/relationships/hyperlink" Target="https://www.cst.cam.ac.uk/people/pl219" TargetMode="External"/><Relationship Id="rId71" Type="http://schemas.openxmlformats.org/officeDocument/2006/relationships/hyperlink" Target="https://arxiv.org/html/2506.05690v3" TargetMode="External"/><Relationship Id="rId70" Type="http://schemas.openxmlformats.org/officeDocument/2006/relationships/hyperlink" Target="https://lup.lub.lu.se/student-papers/record/9223345/file/9223346.pdf" TargetMode="External"/><Relationship Id="rId62" Type="http://schemas.openxmlformats.org/officeDocument/2006/relationships/hyperlink" Target="https://neurips.cc/virtual/2025/poster/115562" TargetMode="External"/><Relationship Id="rId61" Type="http://schemas.openxmlformats.org/officeDocument/2006/relationships/hyperlink" Target="https://neo4j.com/blog/developer/llm-knowledge-graph-builder-release/" TargetMode="External"/><Relationship Id="rId64" Type="http://schemas.openxmlformats.org/officeDocument/2006/relationships/hyperlink" Target="https://arxiv.org/abs/2410.08815" TargetMode="External"/><Relationship Id="rId63" Type="http://schemas.openxmlformats.org/officeDocument/2006/relationships/hyperlink" Target="https://neurips.cc/virtual/2025/poster/117386" TargetMode="External"/><Relationship Id="rId66" Type="http://schemas.openxmlformats.org/officeDocument/2006/relationships/hyperlink" Target="https://github.com/DavidZWZ/Awesome-RAG-Reasoning" TargetMode="External"/><Relationship Id="rId65" Type="http://schemas.openxmlformats.org/officeDocument/2006/relationships/hyperlink" Target="https://iclr.cc/virtual/2025/papers.html" TargetMode="External"/><Relationship Id="rId68" Type="http://schemas.openxmlformats.org/officeDocument/2006/relationships/hyperlink" Target="https://openreview.net/forum?id=faECRsdRav" TargetMode="External"/><Relationship Id="rId67" Type="http://schemas.openxmlformats.org/officeDocument/2006/relationships/hyperlink" Target="https://arxiv.org/html/2410.08815v1" TargetMode="External"/><Relationship Id="rId60" Type="http://schemas.openxmlformats.org/officeDocument/2006/relationships/hyperlink" Target="https://www.articsledge.com/post/graphrag-retrieval-augmented-generation" TargetMode="External"/><Relationship Id="rId69" Type="http://schemas.openxmlformats.org/officeDocument/2006/relationships/hyperlink" Target="https://arxiv.org/html/2504.16787v2" TargetMode="External"/><Relationship Id="rId51" Type="http://schemas.openxmlformats.org/officeDocument/2006/relationships/hyperlink" Target="https://arxiv.org/html/2506.14933v2" TargetMode="External"/><Relationship Id="rId50" Type="http://schemas.openxmlformats.org/officeDocument/2006/relationships/hyperlink" Target="https://www.mdpi.com/1999-5903/17/1/44" TargetMode="External"/><Relationship Id="rId53" Type="http://schemas.openxmlformats.org/officeDocument/2006/relationships/hyperlink" Target="https://openreview.net/forum?id=saRBktzh3q" TargetMode="External"/><Relationship Id="rId52" Type="http://schemas.openxmlformats.org/officeDocument/2006/relationships/hyperlink" Target="https://www.researchgate.net/publication/401455998_DGraph_A_Large-Scale_Financial_Dataset_for_Graph_Anomaly_Detection" TargetMode="External"/><Relationship Id="rId55" Type="http://schemas.openxmlformats.org/officeDocument/2006/relationships/hyperlink" Target="https://arxiv.org/html/2504.14250v3" TargetMode="External"/><Relationship Id="rId54" Type="http://schemas.openxmlformats.org/officeDocument/2006/relationships/hyperlink" Target="https://arxiv.org/html/2603.09349v1" TargetMode="External"/><Relationship Id="rId57" Type="http://schemas.openxmlformats.org/officeDocument/2006/relationships/hyperlink" Target="https://nebula-graph.io/posts/what-is-a-graph-database-a-complete-guide-for-2026" TargetMode="External"/><Relationship Id="rId56" Type="http://schemas.openxmlformats.org/officeDocument/2006/relationships/hyperlink" Target="https://www.ibm.com/think/topics/graphrag" TargetMode="External"/><Relationship Id="rId59" Type="http://schemas.openxmlformats.org/officeDocument/2006/relationships/hyperlink" Target="https://www.hcltech.com/white-papers/applying-graph-rag-for-improved-llm-results" TargetMode="External"/><Relationship Id="rId58" Type="http://schemas.openxmlformats.org/officeDocument/2006/relationships/hyperlink" Target="https://builder.aws.com/content/3BqGkOg2X6mEl25kJqU6gqgQR51/beyond-the-pilot-why-the-frontier-firm-needs-a-graph-intelligence-lay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