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Graph-Theoretic Frontier in Artificial Intelligence: A Deep Dive into Methodologies and Scalable Architectures (2024-2026)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graph-theoretic structures and neural architectures represents a fundamental and permanent paradigm shift in the trajectory of artificial intelligence research and deployment. As the field moves beyond the inherent limitations of flat sequence modeling, one-dimensional autoregressive generation, and rigid coordinate grids, graph-based methodologies have emerged as the primary computational mechanism for embedding complex topologies, domain-specific prior knowledge, and multi-modal relationships into deep learning systems. Between the years 2024 and 2026, the artificial intelligence community has witnessed an explosion of novel techniques published in top-tier venues such as NeurIPS, ICLR, ICML, CVPR, and ACL. This comprehensive analysis evaluates the state-of-the-art across four critical research tracks that collectively define the current frontier of graph-based artificial intelligence.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domain of Natural Language Processing and Complex Reasoning, the integration of Knowledge Graphs (KGs) with Large Language Models (LLMs) has evolved from simple, post-hoc semantic retrieval to deeply integrated, vertically unified agentic frameworks. The systemic vulnerabilities of standard Retrieval-Augmented Generation (RAG)—namely, severe context-window exhaustion, cascading hallucinations during multi-hop queries, and catastrophic forgetting—are actively being resolved. Techniques such as the newly introduced vertically unified agentic paradigms introduce schema-bounded extraction and theoretically grounded hierarchical community detection. These architectures fundamentally alter the computational economics of inference, drastically reducing token consumption while simultaneously elevating the accuracy of complex, multi-step logical reasoning. Concurrently, the rigorous, deterministic nature of Knowledge Graphs is being leveraged in a novel inverse application: as diagnostic frameworks. By utilizing the strict deductive closure of formal ontologies, researchers are now deploying dynamic and temporal graphs to systematically track, quantify, and expose persistent conceptual inconsistencies and latent logical failures within the weights of state-of-the-art Large Language Models.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of Computer Vision has similarly transcended the historical limitations of rigid, binary graph connections. For years, Graph Convolutional Networks (GCNs) applied to spatial tasks were constrained by a literal interpretation of physical topology, connecting only adjacent nodes and subsequently failing to capture the synergistic, long-range dependencies inherent in complex physical actions. The deployment of adaptive hyper-graph topologies allows for the fluid modeling of multi-vertex dependencies and the injection of virtual connections, enabling highly nuanced spatial modeling in intricate tasks such as human action recognition and multi-agent autonomous driving trajectory prediction. Furthermore, the bridging of the visual and linguistic domains is experiencing a renaissance through unsupervised neural graph featurization. By converting segmented visual superpixels into undirected graphs and propagating latent embeddings via systematically defined Hamiltonian paths, researchers have successfully bridged visual clustering with zero-shot linguistic classification. This breakthrough effectively eliminates the paralyzing dependency on massive, manually annotated datasets in highly specialized, low-resource domains such as medical imaging and satellite topography.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Bioinformatics and Healthcare, the opaque, "black-box" nature of deep neural networks is being systematically dismantled through architectures explicitly designed for high-fidelity interpretability. In life-critical fields such as oncology and drug discovery, predictive accuracy is a necessary but insufficient metric; domain experts require models that output verifiable, biologically grounded explanations. Graph Neural Networks are now being equipped with sophisticated importance propagation layers that explicitly integrate domain-specific prior knowledge—such as verified Drug-Target Interactions and literature-mined co-occurrence metrics—directly into the feature initialization and message-passing phases. Combined with advanced cross-attention modules and geometric isomorphism networks, these highly interpretable architectures achieve state-of-the-art predictive accuracy while providing clinicians with verifiable, atomic-level explanations of molecular interactions and disease progression pathways.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foundational scalability of all aforementioned methods relies entirely on addressing the quadratic computational and memory tax inherently embedded within standard scaled dot-product attention mechanisms. As graphs grow to encompass billions of nodes and trillions of edges, standard transformers experience catastrophic memory exhaustion. The latest advancements in hardware-efficient Graph Transformers introduce strictly sub-quadratic and linear-time attention via state-space models, gated delta networks, and higher-order linear attention paradigms. By utilizing constant-size associative states, targeted memory decay rules, and compact prefix sufficient statistics, these hybrid architectural foundations enable the processing of massive graph topologies without the corresponding exponential explosion in memory overhead. Collectively, the synergistic advancement across these four tracks secures the infrastructural, algorithmic, and theoretical foundation for the next generation of graph-based artificial intelligence.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Deep Dive by Track</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NLP &amp; Reasoning: Innovations in GraphRAG and LLM Consistency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intersection of Knowledge Graphs and Large Language Models has fundamentally shifted away from modular, sequential pipelines toward unified architectures that treat graph construction, hierarchical indexing, and generative retrieval as a single, deeply intertwined cognitive process.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Paradigm-Shifting Method 1: Vertically Unified Agents for Graph Retrieval-Augmented Complex Reasoning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traditional architecture of Retrieval-Augmented Generation (RAG) processes unstructured text into flat, semantically embedded chunks, which are subsequently retrieved via simple vector similarity. This approach fails catastrophically when presented with complex, multi-hop queries that require the synthesis of disparate facts distributed across a massive corpus. To address this, the ICLR 2026 paper introducing Youtu-GraphRAG presents a vertically unified agentic paradigm that seamlessly integrates graph construction, indexing, and retrieval through a shared, dynamically adapting schema.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mechanism of this vertically unified framework operates by utilizing a "seed graph schema" to strictly bound the automatic extraction agents. Rather than allowing an LLM to extract an unstructured and noisy myriad of entities and relations, the seed schema anchors the model to targeted entity types, relations, and attribute classifications. This schema-aware approach allows the framework to dynamically expand and adapt to entirely unseen data domains while preserving high recall and preventing the extraction of hallucinated facts. Once the foundational entities are extracted, the architecture constructs a highly intricate four-level hierarchical knowledge tree. The base levels consist of granular attributes and relational triples, progressing upward to keyword indices. To populate the highest level of this hierarchy, the framework employs a novel, theoretically grounded dually-perceived community detection algorithm. Traditional community detection algorithms, such as Leiden or Louvain, rely exclusively on structural topology. The dually-perceived algorithm, however, fuses this structural network topology with deep subgraph semantic embeddings, preventing the artificial fragmentation of closely related concepts and organizing the knowledge into comprehensive, LLM-summarized communities. During the inference phase, an agentic retriever interprets the overarching graph schema to execute a schema-aware decomposition, fracturing highly complex user queries into parallel, mathematically tractable sub-queries. The system then utilizes an Iterative Retrieval Chain of Thought (IRCoT) to conduct continuous reflection, building step-by-step reasoning traces that dynamically explore the hierarchical tree from the top-down (via community summaries) and bottom-up (via specific relational triples).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datasets and benchmarks utilized to evaluate this architecture include a suite of the most rigorous multi-hop reasoning and complex question-answering benchmarks available, most notably GraphRAG-Bench, HotpotQA, and MuSiQue. Extensive experiments across six independent benchmarks demonstrated the profound robustness of the vertically unified agentic approach.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computational pros of this methodology are transformative for enterprise-scale deployments. By bounding the extraction and retrieval processes within a unified schema, the architecture significantly alters the Pareto frontier of large language model inference. The system achieves an unprecedented reduction in token consumption, with empirical results demonstrating up to a 90.71% savings in token costs during specific retrieval tasks, while simultaneously maintaining an average 33.6% lower token cost compared to state-of-the-art baselines. In addition to massive efficiency gains, the structured nature of the retrieval yields a 16.62% absolute improvement in reasoning accuracy. The framework's modularity also allows for seamless domain transfer with minimal human intervention, making it highly adaptable for real-world, dynamic corporate corpora. Conversely, the computational cons revolve around the intense upfront processing requirements. The initial construction of the multi-tiered hierarchical knowledge tree, specifically the dually-perceived community detection and the generation of LLM summaries for every identified subgraph community, requires massive computational overhead and batch processing. Furthermore, during inference, the system's reliance on Iterative Retrieval Chain of Thought (IRCoT) dictates that the agentic retriever must execute multiple, sequential API calls to an underlying LLM to reflect and refine its search path. This introduces unavoidable latency bottlenecks, rendering the system potentially unsuitable for ultra-low-latency, real-time streaming applications without further optimization of the underlying language model's time-to-first-token metrics.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Paradigm-Shifting Method 2: KG-Based Conceptual Diagnostics for LLMs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Knowledge Graphs are predominantly utilized to augment the generative capabilities of Large Language Models, researchers at IBM have pioneered an inverted paradigm (published at ACL 2025), utilizing Knowledge Graphs not as generative aids, but as rigorous, highly scalable diagnostic tools to evaluate the fundamental logical and conceptual consistency of neural networks. The core hypothesis asserts that while LLMs excel at traditional benchmarks, they often harbor severe conceptual inconsistencies—meaning they fail to apply known logical rules uniformly across a hierarchy. For instance, if a language model asserts that a specific medical regulation applies to "all surgeons," conceptual consistency mandates that it must also confirm the regulation applies to "cardiac surgeons".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mechanism of this diagnostic framework operates via a domain-agnostic, six-step automated pipeline. The process initiates by extracting a highly specific, domain-centric concept hierarchy from a structured reference Knowledge Graph, such as Wikidata, utilizing a singular top-level concept, a designated relational property, and a curated set of seed leaf concepts. The second step applies rigorous symbolic axioms to compute the deductive closure of the graph. These axioms enforce strict logical parameters, including edge reflexivity, transitivity, strict inclusion to prevent cyclic paradoxes, negative edge inference, and property inheritance. By applying these axioms, the system generates a massive matrix of mathematically provable facts. Third, the system prompts separate LLMs to generate semantically equivalent natural language paraphrases for these formal edges. Fourth, real instances extracted from the Knowledge Graph are injected into these paraphrases to construct thousands of unique queries. After verifying semantic equivalence across multiple independent models, the pipeline constructs what are termed "Binary Agreement (BA) clusters". A BA cluster is a discrete set of questions that, according to the formal logic of the Knowledge Graph, must elicit a uniform binary response (e.g., all "yes" or all "no"). During evaluation, if an LLM provides a mixed array of responses to the questions within a single BA cluster, it is formally flagged as conceptually inconsistent.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dataset developed for this methodology is a massive, multi-domain benchmark containing over 6,000 deducible edges and generating more than 30,000 unique LLM queries. The benchmark encompasses eight distinct domains extracted from Wikidata, rigorously testing multiple state-of-the-art model families, including DeepSeek, Llama, Granite, and Mistral.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Diagnostic Domain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Relational Predicate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 Clusters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Avg. Queries per Cluster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Disciplines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for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443</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Dishes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 ingredient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1220</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Finance Products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for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725</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 Appliances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for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421</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Occupations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 occupation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Music Genres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practiced by</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Disasters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 cause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357</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studied in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249</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4.49</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1: Structural data derived from the multi-domain Wikidata benchmark utilized for LLM conceptual diagnostics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computational pros of this approach are substantial. The pipeline is highly scalable and completely domain-agnostic, meaning it can be applied to any conceivable hierarchy without requiring domain-specific re-engineering. It offers a principled, high-reliability probe that tests fundamental logical reasoning, exposing deep-seated architectural errors that traditional, static benchmarks often fail to detect. Furthermore, it possesses profound bi-directional utility: while the primary goal is to expose inconsistencies within the LLM, the pipeline simultaneously identifies problematic, ambiguous, or logically contradictory subgraphs within the reference Knowledge Graph itself, serving as a scalable complement to manual symbolic curation. The computational cons, however, highlight the inherent limitations of interfacing formal logic with probabilistic models. The pipeline still requires manual human curation for the initial selection of top-level concepts and seed properties. Additionally, relying on LLMs to generate the semantic paraphrases introduces the risk of pre-training data biases infecting the diagnostic questions. Most critically, there exists a fundamental semantic mismatch between the closed-world assumptions of a strict Knowledge Graph and the open-world, probabilistic assumptions of an LLM. This conflict makes it exceedingly difficult to parse whether an inconsistent answer is the result of a genuine gap in the model's training data, or simply a manifestation of generative uncertainty. Alarmingly, the benchmark revealed that even the most advanced models exhibit a persistent 7% to 10% inconsistency rate on basic factual relationships, regardless of parameter scale.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Computer Vision: Hyper-Graphs &amp; Vision-Language Featurization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application of graph theory within computer vision has progressively abandoned the rigid constraints of static, two-dimensional coordinate grids and simplistic binary relationships. The frontier of spatial AI is defined by complex, dynamic topologies capable of capturing intricate latent dependencies and integrating multi-modal semantic priors directly into the visual clustering process.</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Paradigm-Shifting Method 1: Adaptive Hyper-Graph Convolution Networks (Hyper-GCN)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Graph Convolutional Networks (GCNs) applied to complex spatial tasks, such as skeleton-based human action recognition, rely predominantly on binary connections. In these legacy systems, the graph topology is a literal interpretation of the physical structure—for example, a mathematical edge exists solely where a physical bone connects two adjacent anatomical joints. This strict adherence to localized physical topology severely restricts the network's capacity to recognize and model multi-vertex, long-range synergistic dependencies. Complex human actions, such as the synchronized counter-movement of opposite limbs during a running sequence or the coordinated balance required for a specialized athletic maneuver, cannot be efficiently captured by traversing binary adjacent nodes.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transcend these limitations, researchers introduced the Adaptive Hyper-Graph Convolution Network (Hyper-GCN) at ICCV 2025. The core mechanism replaces standard binary edges with "hyper-edges" capable of linking three or more vertices simultaneously. This architecture dynamically optimizes an Adaptive Non-Uniform Hyper-Graph during the training phase. Unlike previous hyper-graph studies that relied on rigid, predefined construction strategies, this network allows the graph topology to morph and adapt to uncover the latent, action-driven multi-vertex relations specific to the data being processed. To facilitate massive global information transfer without overwhelming the local feature representations of individual joints, the architecture injects "virtual connections" or "hyper joints" into the structure. These virtual nodes act as non-physical central hubs. The physical joints communicate local features to the hyper joints, which then synthesize and broadcast global semantic clues across the entire skeleton via a Multi-head Hyper-graph Convolution (M-HGC) layer. To ensure these virtual connections learn highly generalized, distinct features rather than collapsing into identical representations, the network is optimized using an explicitly formulated Divergence Loss.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datasets utilized to validate the Hyper-GCN architecture include the most rigorous benchmarks in 3D human activity analysis: NTU RGB+D 60, NTU RGB+D 120, and the NW-UCLA dataset, representing cross-view action modeling and large-scale action recognition.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computational pros of the Hyper-GCN are driven by its massive receptive field. By utilizing hyper-graphs and virtual connections, the architecture successfully captures high-order information and synergistic interactions that binary GCNs physically cannot model. A single hyper-graph convolution layer can disseminate information from one vertex to all other vertices simultaneously, exponentially accelerating the speed of information interaction compared to multi-layer standard GCN aggregation. Furthermore, offloading the storage of global semantics to the virtual hyper joints reduces the representational burden on the real joints, allowing them to remain highly specialized in local feature extraction. The computational cons manifest in the extreme delicacy required during network tuning. The introduction of virtual connections carries a severe risk of feature homogenization; without the strict application of Divergence Loss, the hyper joints collapse and fail to learn distinct action primitives. Additionally, empirical ablation studies demonstrated that architectural performance does not scale monotonically with the addition of virtual nodes. Injecting more than the optimal threshold (typically identified as exactly three hyper joints) introduces massive spatial ambiguity and redundant clues, rapidly degrading the network's state-of-the-art accuracy. The dynamic, adaptive construction of the non-uniform matrices also incurs a higher processing complexity than standard, fixed-edge adjacency matrices.</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Paradigm-Shifting Method 2: Unsupervised Vision-Language Neural Graph Featurization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highly specialized domains such as medical imaging pathology, the deployment of supervised deep learning is consistently paralyzed by the scarcity of massive, accurately annotated datasets. The heterogeneous morphology of features, such as retinal lesions, makes pixel-perfect human annotation prohibitively expensive and prone to subjective diagnostic errors. To bypass this bottleneck, the Unsupervised Vision-Language Neural Graph Featurization framework (published at ICCV 2025) provides a robust algorithmic bridge between spatial visual graphs and massive, pre-trained Vision-Language Models (VLMs).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mechanism operates as a fully unsupervised pipeline. The process initiates by analyzing raw visual data—specifically fundus images—and segmenting them into a cohesive set of superpixels using Simple Linear Iterative Clustering (SLIC). These segmented superpixels are immediately decomposed into an undirected spatial graph, where each individual superpixel serves as a node, and spatially adjacent nodes are connected by standard edges. To synthesize the latent spatial features, the architecture relies on a computationally elegant Hamiltonian path traversal algorithm. This path systematically traverses the entire undirected graph, iteratively updating and propagating latent space node and edge embeddings at every step. The traversal continues until the propagation achieves mathematical convergence. Once the embeddings reach equilibrium, the system applies a Normalized Cut algorithm, separating the unified graph into two distinct semantic clusters within the latent space, representing healthy tissue and potential pathological lesions. In the final step, the isolated lesion superpixels are mapped to a prompt-based, zero-shot Vision-Language Model, which classifies the clustered nodes into specific diagnostic categories based on learned linguistic representations of the diseases.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framework was rigorously evaluated across four highly respected public datasets encompassing retinal disorders: ODIR, FIVES, BIOMISA, and IDRiD. The unsupervised architecture achieved extraordinary zero-shot F1-scores of 0.89, 0.92, 0.93, and 0.92, respectively, outperforming numerous fully supervised legacy methods.</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Backbone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Precision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Recall</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F1 Score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IoU</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GMACs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Vision Transformer (ViT)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0.86</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0.87</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0.86</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0.76</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19.60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ResNet-50</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0.84</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0.86</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2: Analysis of segmentation performance and computational complexity on the ODIR dataset utilizing different encoder backbones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computational pros of this neural graph featurization method are defined by its absolute independence from labeled data. By remaining entirely unsupervised, the architecture completely eliminates the need for expensive expert annotation, drastically accelerating the deployment of diagnostic systems into novel medical vectors. Furthermore, the utilization of a Hamiltonian path ensures that contextual embedding updates are not randomly diffused, but propagate systematically and completely throughout the entire graph topology, ensuring uniform latent space development prior to the normalized cut. The primary computational cons are rooted in the heavy inference requirements of the vision encoders and the sequential nature of the graph traversal. Extracting the initial embeddings for the superpixels via standard Vision Transformer (ViT) architectures incurs a massive computational overhead of approximately 19.60 GMACs and requires 384 milliseconds per iteration. More critically, the iterative Hamiltonian path traversal is an inherently sequential algorithmic process. This presents a significant computational bottleneck, as it actively resists the massive, parallelized matrix multiplications typically leveraged by modern GPU hardware to accelerate deep learning training regimes.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Bioinformatics &amp; Healthcare: Interpretable Knowledge Integration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fields governed by rigorous biochemical laws and high-stakes clinical outcomes, raw predictive accuracy from opaque "black-box" models is insufficient for deployment. Domain experts—biologists, chemists, and oncologists—require computational models that output verifiable, biologically grounded explanations. Consequently, the frontier of bioinformatics AI focuses on architectures that weave proven domain knowledge directly into the structural learning process to guarantee interpretability.</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Paradigm-Shifting Method 1: GraphPINE - Prior Knowledge via Importance Propagation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prediction of cancer drug responses using multi-omics data is a critical component of precision medicine, yet traditional Graph Neural Networks consistently fail to elucidate the exact interaction pathways driving their predictions. While post-hoc explainability methods (such as GNNExplainer, gradient mapping, or Shapley values) can highlight important nodes, they generate these explanations after the prediction has occurred, frequently producing mathematical interpretations that violate known biological realities. GraphPINE (Graph Propagating Importance Network for Explanation) resolves this interpretability deficit by embedding biological axioms directly into the network's initialization phase.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mechanism of GraphPINE fundamentally differs from standard attention-based GNNs. Rather than assigning uniform or randomized initial weights to nodes and edges, GraphPINE injects domain-specific prior knowledge to initialize node importance scores. This prior knowledge is explicitly derived from curated Drug-Target Interaction (DTI) graphs and mathematically weighted using co-occurrence metrics mined from PubMed literature abstracts. The architectural breakthrough lies within the novel Importance Propagation Layer. Drawing inspiration from the sequential gating mechanics of Long Short-Term Memory (LSTM) networks, GraphPINE unifies the learning process by propagating the biological importance scores simultaneously with the multi-omics feature vectors. At every message-passing step, the GNN updates the node features while dynamically refining the importance scores based on the graph structure, forcing the network to ground its multi-hop feature aggregations explicitly within verifiable biological interaction pathways. The input data is rigorously preprocessed; raw gene expression arrays are converted to Transcripts Per Million (TPM), scaled via Log2 transformations, and normalized using strict Winsorization techniques to eliminate outlier corruption.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was evaluated using the renowned NCI60 cancer cell line dataset, mapping drug screening arrays against a massive gene-gene interaction network containing over 5,000 discrete gene nodes to predict therapy responses across 952 unique oncological drugs.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computational pros of GraphPINE are significant. By propagating importance scores simultaneously with features, the model becomes inherently interpretable, generating highly accurate visualizations of gene-gene interactions under drug treatment without requiring the massive computational overhead of secondary explainer algorithms. Despite its architectural complexity, the model is incredibly efficient. Implemented using PyTorch Geometric, GraphPINE achieves competitive performance (PR-AUC of 0.894 and ROC-AUC of 0.796) with an average training time of merely 0.2 seconds per epoch and an inference execution time of 0.1 seconds per drug-cell line pair on an NVIDIA Tesla A100 GPU. The computational cons, however, are inherent to its reliance on literature-weighted prior knowledge. The model's predictive ceiling is strictly bound by the quality, density, and accuracy of the initializing DTI database. If the prior knowledge graph contains outdated theories, erroneous literature linkages, or significant observational gaps, the Importance Propagation Layer will permanently bias the latent embeddings, actively hindering the neural network's mathematical ability to discover entirely novel, undocumented interaction mechanisms.</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Paradigm-Shifting Method 2: GPS-DTI - Interpretable Geometric Graph Neural Networks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persistent crisis within computational drug discovery is the failure of predictive models to maintain accuracy when processing unseen compounds or targets—a scenario formally known as the "cold-start" problem. Models that memorize training distributions suffer catastrophic performance drops when generalized to real-world applications. GPS-DTI was engineered to provide a deeply integrated framework that maximizes both generalizability across unseen distributions and atomic-level interpretability.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mechanism features a highly sophisticated dual-encoding architecture designed to capture both fine-grained local motifs and broad structural geometries. On the molecule side, a drug represented as a SMILES sequence is mathematically converted into a molecular graph. To capture the local atomic environment, the network deploys a Graph Isomorphism Network with Edge features (GINE)—a highly expressive variant of Message Passing Neural Networks. To concurrently model the global dependencies spanning the entire molecule, a multi-head attention mechanism (MHAM) is applied over the GINE outputs. Crucially, to preserve geometric integrity, positional encoding via Laplacian eigenvectors is injected into the node representations. In parallel, the target protein sequences are processed using the massive, pre-trained Evolutionary Scale Model (ESM-2), and further refined through 3-layer convolutional neural networks (CNNs) to extract deep evolutionary contexts. The defining feature of the architecture is the Cross-Attention Module (CAM), which algorithmically fuses the dual embeddings. The CAM outputs highly interpretable cross-attention maps that identify exactly which atomic substructure of the drug is interacting with which specific binding pocket of the protein, illuminating the biochemical mechanics of the prediction.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GPS-DTI was comprehensively benchmarked across the DrugBank, BioSNAP, BindingDB, Human, and C.elegans datasets. To prove its robustness, it was validated against an independent COVID-19 dataset consisting of 101 DTI entries featuring extreme class imbalances.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computational pros highlight its unmatched generalization capabilities. By structurally balancing the local feature aggregation of GINE with the global receptive field of MHAM, the model overcomes the spatial limitations of standard GNNs and the localized blindness of standard transformers. GPS-DTI consistently achieves state-of-the-art performance in drug-target affinity tasks, demonstrating extreme resilience during target-cold, drug-cold, and pair-cold start scenarios. Furthermore, the model maintained high F1 scores even when subjected to severe positive-to-negative sample imbalances (ranging from 1:5 to 1:20 ratios) within the COVID-19 test set. The computational cons become evident when evaluating specific performance metrics under duress. While the F1 score remains stable during extreme class imbalance, the architecture exhibits a severe sensitivity regarding the Area Under the Precision-Recall Curve (AUPRC), which degrades significantly as the imbalance intensifies. Furthermore, while geometrically necessary, the calculation of Laplacian eigenvectors for massive, complex molecular graphs introduces a non-trivial computational bottleneck during the data preprocessing phase, slowing down high-throughput screening pipelines.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Foundational Architecture: Next-Gen Graph Transformers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primary impediment to scaling Graph Neural Networks to encompass multi-billion node topologies is the quadratic computational and memory tax imposed by the standard scaled dot-product attention mechanism. Standard attention requires the materialization of an N \times N matrix, making long-range context processing economically and physically unviable. The foundational frontier in 2026 is defined by linear-attention hybrids and state-space models that bypass these limits entirely.</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Paradigm-Shifting Method 1: Gated Delta Networks (Gated DeltaNet)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to linear-time attention mechanisms often involves reformulating the transformer as a linear Recurrent Neural Network (RNN) featuring matrix-valued hidden states. While this solves the memory scaling issue, it introduces a new failure mode: memory collisions. Traditional linear transformers implement an outer-product-based key-value association memory. Because the number of orthogonal key-value pairs that can be stored is strictly bounded by the model's dimensional width, exposing the model to long sequences guarantees that older representations will be overwritten, crippling the network's ability to execute exact in-context retrieval. Recent innovations, such as the Mamba2 state-space model, attempted to solve this using a simple gated decay rule (S_t = \alpha_t S_{t-1} + v_t k_t^\top) that uniformly erased older memory. However, this untargeted, blanket forgetting proved highly inefficient for complex logical tracking.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Gated DeltaNet, presented at ICLR 2025, resolves this mathematical bottleneck by fusing two powerful mechanisms: adaptive gating for rapid memory erasure and the delta update rule for highly precise, targeted memory modifications. Operating with a recurrent flavor, Gated DeltaNet bypasses the creation of the standard token-by-token attention matrix. Instead, it processes sequential elements while maintaining a fixed-size running state. The gates intelligently regulate how the memory state absorbs new graph nodes and exactly which outdated associations should be specifically targeted for deletion, optimizing memory utilization without the threat of indiscriminate decay.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has been rigorously tested across benchmarks requiring massive context windows, including long-context understanding, in-context retrieval, common-sense reasoning, and extreme length extrapolation datasets.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computational pros of Gated DeltaNet are vital for foundational scaling. The architecture completely circumvents the quadratic growth of the Key-Value (KV) cache, enabling strictly linear time and memory complexity during deployment inference. Furthermore, the developers engineered a highly optimized parallel training algorithm tailored for modern GPUs, allowing the recurrent sequence to be trained with throughput speeds matching, and occasionally exceeding, standard parallelized transformers. The computational cons reflect the harsh reality of linear compression metrics. As with all models relying on fixed-size states, compression is inherently lossy. The exact recall capability on highly granular queries remains definitively worse than uncompressed, full-attention models. Consequently, Gated DeltaNet is rarely deployed as a pure, standalone architecture. To maintain periodic global mixing and ensure high-fidelity recall, it mandates a hybrid structural deployment—typically following a 3:1 ratio where three Gated DeltaNet layers are followed by a single heavy full-attention layer. This hybrid requirement slightly complicates hardware orchestration and deployment pipeline engineering.</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Paradigm-Shifting Method 2: Higher-Order Linear Attention (HLA)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standard linear attention mechanisms lower computational complexity, they are fundamentally constrained by a low-rank bottleneck. First-order linear approximations inherently struggle to capture the intricate, multi-hop topological relationships required for sophisticated graph learning and complex reasoning tasks.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Higher-order Linear Attention (HLA), published in late 2025, entirely reconstructs the mathematical foundation of attention by introducing a causal, streaming mechanism designed to realize higher-order element interactions via compact prefix sufficient statistics. Unlike standard transformers that utilize static linear projections to construct Query and Key vectors, HLA dynamically refines these representations through a nested, recursive attention loop. This recursive framework allows token states to continually aggregate and compress global context, modeling complex high-order correlations prior to the execution of the final attention computation. In its second-order instantiation, HLA calculates per-token outputs while maintaining a strictly constant-size state, operating in linear time without ever materializing an N \times N matrix. To manage complex positional geometry over massive contexts, HLA employs Group Representational Position Encoding (GRAPE), utilizing unipotent actions and multiplicative rotations defined by a rank-2 skew generator to preserve exact relative maps at minimal computational cost. To process extreme high-dimensional data arrays, variants of this architecture employ Kronecker factorized attention, reducing the computational cost to scale quadratically only along individual axis dimensions rather than the total volume of the input tensor.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methodology was benchmarked across a diverse spectrum of high-dimensional environments, including autoregressive language modeling, 3D medical image classification, long-term time-series forecasting, and extreme context extrapolation.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computational pros of HLA represent a profound theoretical leap. Mathematical proofs confirm that the HLA framework completely shatters the linear bottleneck that plagues standard efficient attention mechanisms. By enforcing a rigorous, parameter-efficient weight-sharing strategy across its recursive steps, the architecture delivers an exponential increase in expressivity while incurring exactly \mathcal{O}(1) additional parameters. Despite its recurrent nature, the introduction of a specialized chunk-parallel training scheme based on associative scans allows the architecture to perfectly replicate serial activations while executing with massive parallel efficiency during training. The computational cons are heavily rooted in engineering and architectural complexity. Developing models with Higher-Order Linear Attention is formidable; the requirement to write and compile custom, highly specific CUDA kernel implementations for the associative scans severely limits out-of-the-box compatibility with standard distributed machine learning libraries like PyTorch or DeepSpeed. Furthermore, while theoretically superior in algorithmic complexity, the empirical hardware utilization (FLOPs per watt) of complex recursive tensor products often lags behind the highly optimized, brute-force matrix multiplications utilized by standard, uncompressed FlashAttention-3 kernels, requiring further hardware-software co-design to achieve maximum efficiency.</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Cross-Domain Synergies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comprehensive analysis of the algorithmic frameworks across these four distinct tracks reveals significant operational gaps where methodologies developed for one specific modality can be transplanted and hybridized to eliminate systemic bottlenecks in another, presenting unprecedented opportunities for novel research contributions.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Synergy 1: Applying Vision-Language Graph Featurization to Bioinformatics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Research Gap:</w:t>
      </w:r>
      <w:r w:rsidDel="00000000" w:rsidR="00000000" w:rsidRPr="00000000">
        <w:rPr>
          <w:rtl w:val="0"/>
        </w:rPr>
        <w:t xml:space="preserve"> Within the realm of spatial transcriptomics and molecular pathology, biological researchers face a massive data integration bottleneck. While models like GraphPINE excel at integrating tabular, numerical multi-omics data (such as gene expression or DNA methylation arrays), they entirely lack the capacity to ingest and process the unstructured visual morphology of the actual tissue samples. Conversely, researchers attempting to map visual tissue morphology typically rely on massive cohorts of highly supervised, hand-annotated histological biopsy data, which are agonizingly slow to curate.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The Novel Contribution:</w:t>
      </w:r>
      <w:r w:rsidDel="00000000" w:rsidR="00000000" w:rsidRPr="00000000">
        <w:rPr>
          <w:rtl w:val="0"/>
        </w:rPr>
        <w:t xml:space="preserve"> The unsupervised Vision-Language Neural Graph Featurization methodology—originally designed for extracting retinal lesions—can be radically adapted to formulate a new </w:t>
      </w:r>
      <w:r w:rsidDel="00000000" w:rsidR="00000000" w:rsidRPr="00000000">
        <w:rPr>
          <w:b w:val="1"/>
          <w:bCs w:val="1"/>
          <w:rtl w:val="0"/>
        </w:rPr>
        <w:t xml:space="preserve">Spatial-Omics Neural Graph Architecture</w:t>
      </w:r>
      <w:r w:rsidDel="00000000" w:rsidR="00000000" w:rsidRPr="00000000">
        <w:rPr>
          <w:rtl w:val="0"/>
        </w:rPr>
        <w:t xml:space="preserve">. The process would initiate by applying the SLIC superpixel segmentation algorithm directly to raw, unannotated histological whole-slide images, constructing an undirected spatial graph that accurately maps the physical cellular neighborhoods. However, instead of propagating purely visual latent vectors, the Hamiltonian path mechanism would systematically propagate integrated node embeddings that explicitly overlay the multi-omics feature vectors (rigorously preprocessed via TPM normalization, Log2 transformation, and Winsorization) directly onto the visual superpixels. As the Hamiltonian path iteratively processes the graph and achieves equilibrium, the Normalized Cut algorithm would algorithmically isolate distinct micro-environments—such as identifying the exact, pixel-level boundary of a tumor micro-environment—entirely unsupervised. Finally, by replacing the standard generalized zero-shot classifier with a domain-specific, biologically aligned Vision-Language Model (VLM), researchers could execute complex conceptual queries against the clustered multi-omics graph topology. This hybrid approach would completely bypass the need for manually labeled spatial datasets, achieving the spatial awareness of computer vision and the atomic interpretability of GNNs.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Synergy 2: Applying Higher-Order Linear Attention to Agentic GraphRAG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Research Gap:</w:t>
      </w:r>
      <w:r w:rsidDel="00000000" w:rsidR="00000000" w:rsidRPr="00000000">
        <w:rPr>
          <w:rtl w:val="0"/>
        </w:rPr>
        <w:t xml:space="preserve"> The emergence of vertically unified Agentic GraphRAG architectures, such as Youtu-GraphRAG, has revolutionized retrieval accuracy. However, the reliance on deep, Schema-Guided Hierarchical Knowledge Trees introduces a massive computational burden. While the Dually-Perceived Community Detection algorithm generates excellent subgraph summaries, forcing the underlying LLM to actively reason over hundreds of multi-hop community summaries and relational triples via Iterative Retrieval Chain of Thought (IRCoT) rapidly exhausts the model's standard context window. This triggers the devastating quadratic memory tax of standard attention mechanisms, severely limiting the depth of the graph that can be explored in a single pass.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Novel Contribution: The direct integration of Higher-Order Linear Attention (HLA) into the internal processing nodes of the GraphRAG retrieval agent provides the algorithmic foundation for </w:t>
      </w:r>
      <w:r w:rsidDel="00000000" w:rsidR="00000000" w:rsidRPr="00000000">
        <w:rPr>
          <w:b w:val="1"/>
          <w:bCs w:val="1"/>
          <w:rtl w:val="0"/>
        </w:rPr>
        <w:t xml:space="preserve">Sub-Quadratic Graph Retrievers</w:t>
      </w:r>
      <w:r w:rsidDel="00000000" w:rsidR="00000000" w:rsidRPr="00000000">
        <w:rPr>
          <w:rtl w:val="0"/>
        </w:rPr>
        <w:t xml:space="preserve">. Because the context injected by GraphRAG relies on highly structured, multi-dimensional relational data (attributes, triples, keyword indices, and hierarchical community summaries) , substituting the standard LLM attention layers with HLA's Kronecker factorized attention would allow the model to process the hierarchical tree naturally across multiple axes. The recursive framework of HLA, which dynamically refines its Query and Key vectors through deep inner attention loops, structurally mirrors the cognitive act of traversing a hierarchical knowledge graph from broad communities down to specific atomic attributes. By utilizing HLA's compact prefix sufficient statistics and constant-size memory state, the GraphRAG retriever agent could ingest and synthesize practically infinite-length graph contexts in strictly linear time. This architectural fusion completely eliminates memory collisions and catastrophic forgetting, allowing the agent to continuously loop through its IRCoT reflections over billion-node graphs while preserving the high-order structural motifs mandated by the initial community detection protocols.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Recommended Frameworks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efficiently implement the complex methodologies, unified architectures, and cross-domain synergies discussed throughout this report, deployment teams must utilize highly specialized software infrastructure. The following open-source frameworks and libraries constitute the optimal, state-of-the-art stack as of early 2026:</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PyTorch Geometric (PyG):</w:t>
      </w:r>
      <w:r w:rsidDel="00000000" w:rsidR="00000000" w:rsidRPr="00000000">
        <w:rPr>
          <w:rtl w:val="0"/>
        </w:rPr>
        <w:t xml:space="preserve"> As the definitive, foundational library for implementing complex graph topologies, PyG is absolutely essential. It provides native, highly optimized support for Message Passing Neural Networks (MPNNs). Consequently, it is the mandatory framework for building the expressive Graph Isomorphism Networks (GINE) utilized in architectures like GPS-DTI, as well as providing the underlying tensor operations necessary to compute the Adaptive Hyper-Graphs and virtual connections required for complex spatial vision tasks.</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Flash Linear Attention (FLA):</w:t>
      </w:r>
      <w:r w:rsidDel="00000000" w:rsidR="00000000" w:rsidRPr="00000000">
        <w:rPr>
          <w:rtl w:val="0"/>
        </w:rPr>
        <w:t xml:space="preserve"> The transition away from quadratic scaling requires specialized hardware optimization. FLA is a cutting-edge, open-source repository providing the highly specialized, custom CUDA kernels required to efficiently implement linear-time attention mechanisms directly on GPUs. It contains the official, hardware-aligned implementations for Gated DeltaNet, Gated Linear Attention (GLA), and Native Sparse Attention, which are critical for replacing the massive KV caches in foundational LLM architectures.</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LightRAG &amp; fast-graphrag:</w:t>
      </w:r>
      <w:r w:rsidDel="00000000" w:rsidR="00000000" w:rsidRPr="00000000">
        <w:rPr>
          <w:rtl w:val="0"/>
        </w:rPr>
        <w:t xml:space="preserve"> For implementing vertically unified agentic retrieval pipelines, these open-source toolkits offer highly modular, production-ready foundations. While theoretical frameworks like Youtu-GraphRAG define the absolute Pareto frontier in token savings, LightRAG provides a highly practical dual-level retrieval design combining graph structures with vector text indexing. For rapid research prototyping, fast-graphrag offers an explicitly hackable graph exploration base utilizing Personalized PageRank algorithms at inference time.</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Deep Graph Library (DGL):</w:t>
      </w:r>
      <w:r w:rsidDel="00000000" w:rsidR="00000000" w:rsidRPr="00000000">
        <w:rPr>
          <w:rtl w:val="0"/>
        </w:rPr>
        <w:t xml:space="preserve"> Maintained with substantial support from AWS, DGL is specifically optimized for scaling Graph Neural Networks to encompass giant graphs. Through highly refined multi-GPU acceleration protocols and distributed training infrastructure, DGL provides the necessary memory-efficient message passing primitives required for implementations that demand the multi-hop aggregation of billion-node topologies prior to LLM context injection.</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Polars:</w:t>
      </w:r>
      <w:r w:rsidDel="00000000" w:rsidR="00000000" w:rsidRPr="00000000">
        <w:rPr>
          <w:rtl w:val="0"/>
        </w:rPr>
        <w:t xml:space="preserve"> The intense data pre-processing required to construct massive multi-omics tables (such as the TPM normalization required by GraphPINE) or to clean multi-domain Wikidata extractions for conceptual diagnostics cannot be efficiently handled by legacy libraries. Polars provides a strictly superior, highly parallelized alternative to Pandas, capable of executing complex data transformation pipelines with lazy evaluation at hardware memory limits, establishing it as the premier library for the data-wrangling phase of graph construction.</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TencentCloudADP/youtu-graphrag: [ICLR 2026] Youtu ... - GitHub, https://github.com/TencentCloudADP/youtu-graphrag 2. Youtu-GraphRAG: Vertically Unified Agents for Graph Retrieval-Augmented Complex Reasoning | OpenReview, https://openreview.net/forum?id=yCtgZ2G39E 3. (PDF) Youtu-GraphRAG: Vertically Unified Agents for Graph Retrieval-Augmented Complex Reasoning - ResearchGate, https://www.researchgate.net/publication/395034640_Youtu-GraphRAG_Vertically_Unified_Agents_for_Graph_Retrieval-Augmented_Complex_Reasoning 4. Youtu-GraphRAG: Vertically Unified Agents for Graph Retrieval-Augmented Complex Reasoning - arXiv, https://arxiv.org/html/2508.19855v1 5. [2508.19855] Youtu-GraphRAG: Vertically Unified Agents for Graph Retrieval-Augmented Complex Reasoning - arXiv, https://arxiv.org/abs/2508.19855 6. Conceptual Diagnostics for Knowledge Graphs and ... - ACL Anthology, https://aclanthology.org/2025.acl-industry.37.pdf 7. Conceptual Diagnostics for Knowledge Graphs and Large Language Models - ACL Anthology, https://aclanthology.org/2025.acl-industry.37/ 8. Adaptive Hyper-Graph Convolution Network for Skeleton ... - arXiv, https://arxiv.org/pdf/2411.14796 9. Adaptive Hyper-Graph Convolution Network for Skeleton-based Human Action Recognition with Virtual Connections - ICCV 2025 Open Access Repository - The Computer Vision Foundation, https://openaccess.thecvf.com/content/ICCV2025/html/Zhou_Adaptive_Hyper-Graph_Convolution_Network_for_Skeleton-based_Human_Action_Recognition_with_ICCV_2025_paper.html 10. Vision-Language Neural Graph Featurization for ... - CVF Open Access, https://openaccess.thecvf.com/content/ICCV2025/papers/Hassan_Vision-Language_Neural_Graph_Featurization_for_Extracting_Retinal_Lesions_ICCV_2025_paper.pdf 11. Vision-Language Neural Graph Featurization for Extracting Retinal Lesions - ICCV 2025 Open Access Repository, https://www.openaccess.thecvf.com/content/ICCV2025/html/Hassan_Vision-Language_Neural_Graph_Featurization_for_Extracting_Retinal_Lesions_ICCV_2025_paper.html 12. ICCV25poster presentation - YouTube, https://www.youtube.com/watch?v=431g_QsZrJ4 13. inoue0426/GraphPINE - GitHub, https://github.com/inoue0426/GraphPINE 14. GraphPINE: Graph Importance propagation for interpretable drug response prediction, https://pubmed.ncbi.nlm.nih.gov/40297226/ 15. Path-Based Graph Neural Network for Drug Synergy Prediction and Interpretation | Journal of Chemical Information and Modeling - ACS Publications, https://pubs.acs.org/doi/10.1021/acs.jcim.5c02569 16. GraphPINE: Graph Importance propagation for interpretable drug response prediction - PMC, https://pmc.ncbi.nlm.nih.gov/articles/PMC12036428/ 17. May 16th, 2025 - NIH Intramural Research Program, https://irp.nih.gov/system/files/media/file/2025-05/nih_artificial_intelligence_symposium_2025-05-16_program_booklet_v1.pdf 18. GraphPINE: Graph importance propagation Neural Network for interpretable drug response prediction | OpenReview, https://openreview.net/forum?id=Cd25C59teq 19. (PDF) An interpretable geometric graph neural network for ..., https://www.researchgate.net/publication/398018021_An_interpretable_geometric_graph_neural_network_for_enhancing_the_generalizability_of_drug-target_interaction_prediction 20. Transformers vs Mamba vs Linear Attention: Who Wins Long Context? - Devansh - Medium, https://machine-learning-made-simple.medium.com/transformers-vs-mamba-vs-linear-attention-who-wins-long-context-f1dc8ceb5ede 21. HIGHER ORDER TRANSFORMERS: EFFICIENT ATTEN- TION MECHANISM FOR TENSOR STRUCTURED DATA - OpenReview, https://openreview.net/pdf?id=MxGGdhDmv5 22. Gated DeltaNet | Sebastian Raschka, PhD, https://sebastianraschka.com/llms-from-scratch/ch04/08_deltanet/ 23. [2312.06635] Gated Linear Attention Transformers with Hardware-Efficient Training - arXiv, https://arxiv.org/abs/2312.06635 24. GATED DELTA NETWORKS: IMPROVING MAMBA2 WITH DELTA RULE - OpenReview, https://openreview.net/pdf?id=r8H7xhYPwz 25. ICLR Poster Gated Delta Networks: Improving Mamba2 with Delta Rule - ICLR 2026, https://iclr.cc/virtual/2025/poster/28219 26. [2412.06464] Gated Delta Networks: Improving Mamba2 with Delta Rule - arXiv, https://arxiv.org/abs/2412.06464 27. yifanzhang-pro/HLA: Official Project Page for HLA: Higher-order Linear Attention (https://arxiv.org/abs/2510.27258) · GitHub - GitHub, https://github.com/yifanzhang-pro/HLA 28. Removing Q/K projections for Gated Delta Net maintains perf with ~15% fewer params, https://www.reddit.com/r/LocalLLaMA/comments/1sby7tm/removing_qk_projections_for_gated_delta_net/ 29. arxiv.org, https://arxiv.org/html/2512.03377v1 30. Daily Papers - Hugging Face, https://huggingface.co/papers?q=quadratic%20attention 31. Quanquan Gu - CatalyzeX, https://www.catalyzex.com/author/Quanquan%20Gu 32. ICLR 2025 Workshop MLGenX - OpenReview, https://openreview.net/group?id=ICLR.cc/2025/Workshop/MLGenX 33. pyg-team/pytorch_geometric: Graph Neural Network Library for PyTorch - GitHub, https://github.com/pyg-team/pytorch_geometric 34. fla-org/flash-linear-attention - GitHub, https://github.com/fla-org/flash-linear-attention?spm=a2ty_o06.30285417.0.0.581ac921iRBNH1 35. GraphRAG in 2026: What to Use, When to Use It, and What to Watch Out For - Medium, https://medium.com/@tongbing00/graphrag-in-2026-what-to-use-when-to-use-it-and-what-to-watch-out-for-a1fa1c283023 36. GraphRAG in 2026: A Practical Buyer's Guide to Knowledge-Graph–Augmented RAG | by Tongbing | Medium, https://medium.com/@tongbing00/graphrag-in-2026-a-practical-buyers-guide-to-knowledge-graph-augmented-rag-43e5e72d522d 37. Deep Graph Library, https://www.dgl.ai/ 38. The 48 Best Open-Source Python Libraries and Tools in 2026 - Anaconda, https://www.anaconda.com/guides/open-source-python-libraries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