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4201C"/>
          <w:sz w:val="44"/>
          <w:szCs w:val="44"/>
        </w:rPr>
        <w:t xml:space="preserve">PSGA Algorithm Validation Study</w:t>
      </w:r>
    </w:p>
    <w:p>
      <w:pPr>
        <w:spacing w:after="40"/>
        <w:jc w:val="center"/>
      </w:pPr>
      <w:r>
        <w:rPr>
          <w:color w:val="1F6F5C"/>
          <w:sz w:val="28"/>
          <w:szCs w:val="28"/>
        </w:rPr>
        <w:t xml:space="preserve">Methodology and Results</w:t>
      </w:r>
    </w:p>
    <w:p>
      <w:pPr>
        <w:spacing w:after="480"/>
        <w:jc w:val="center"/>
      </w:pPr>
      <w:r>
        <w:rPr>
          <w:i/>
          <w:iCs/>
          <w:color w:val="5C6B63"/>
          <w:sz w:val="20"/>
          <w:szCs w:val="20"/>
        </w:rPr>
        <w:t xml:space="preserve">RideShareEU — Priority-Scored Greedy Algorithm for Schedule-Based University Carpooling</w:t>
      </w:r>
    </w:p>
    <w:p>
      <w:pPr>
        <w:pStyle w:val="Heading1"/>
        <w:spacing w:after="160" w:before="320"/>
      </w:pPr>
      <w:r>
        <w:t xml:space="preserve">1. Purpose</w:t>
      </w:r>
    </w:p>
    <w:p>
      <w:pPr>
        <w:spacing w:after="160"/>
      </w:pPr>
      <w:r>
        <w:t xml:space="preserve">This study validates the PSGA matching algorithm as an independent computational artifact, separate from evaluation of the full web application. The proposal's evaluation plan requires this to happen before the algorithm is exercised by real users, since no pre-existing user base was available at the time of testing. The algorithm is scored against a set of synthetic passenger queries and candidate trips, using precision at rank 1, recall, and mean rank of the first acceptable match, as defined in the testing procedure section of the proposal.</w:t>
      </w:r>
    </w:p>
    <w:p>
      <w:pPr>
        <w:spacing w:after="160"/>
      </w:pPr>
      <w:r>
        <w:t xml:space="preserve">Ground truth for “acceptable match” was established independently by human evaluators applying real-world judgment — not by re-deriving the algorithm's own numeric thresholds — so the validation is not circular, and so it directly answers the concern that synthetic-only evaluation cannot capture real-world safety and reasonableness.</w:t>
      </w:r>
    </w:p>
    <w:p>
      <w:pPr>
        <w:pStyle w:val="Heading1"/>
        <w:spacing w:after="160" w:before="320"/>
      </w:pPr>
      <w:r>
        <w:t xml:space="preserve">2. Methodology</w:t>
      </w:r>
    </w:p>
    <w:p>
      <w:pPr>
        <w:pStyle w:val="Heading2"/>
        <w:spacing w:after="120" w:before="260"/>
      </w:pPr>
      <w:r>
        <w:t xml:space="preserve">2.1 Dataset construction</w:t>
      </w:r>
    </w:p>
    <w:p>
      <w:pPr>
        <w:spacing w:after="160"/>
      </w:pPr>
      <w:r>
        <w:t xml:space="preserve">The proposal describes “500 trip records” / “500 passenger queries” / “500 passenger-trip pairs” without fully reconciling these into one structure. To make every stated metric computable — precision at rank 1 and recall both require a passenger query to have multiple candidate trips to rank — the dataset was generated as 100 passenger queries, each searched against a pool of 5 candidate trips, for exactly 500 (passenger, trip) pairs. This is the operationalization used throughout the study.</w:t>
      </w:r>
    </w:p>
    <w:p>
      <w:pPr>
        <w:spacing w:after="160"/>
      </w:pPr>
      <w:r>
        <w:t xml:space="preserve">All coordinates are grounded in real locations rather than arbitrary points: the destination for every query is fixed at Manuel S. Enverga University Foundation, Lucena City (13.9490188, 121.6202904), matching the live application's own constants. Passenger and trip origins are Gaussian-jittered around three real anchor points — Ibabang Dupay (13.9414, 121.6235) and Ilayang Dupay (13.9752, 121.6231), both from PhilAtlas, and Sariaya (13.9629837, 121.5243402), matching a real trip already posted in the live application's development database — consistent with the proposal's own description of “address clusters” within 15 kilometers of the university.</w:t>
      </w:r>
    </w:p>
    <w:p>
      <w:pPr>
        <w:spacing w:after="160"/>
      </w:pPr>
      <w:r>
        <w:t xml:space="preserve">Departure times follow a bimodal distribution peaking at 7:00 AM and 4:30 PM (clamped to a 6:00 AM – 7:00 PM window), matching typical class schedules as described in the proposal. Generation uses a fixed random seed (20260907) so the dataset is exactly reproducible.</w:t>
      </w:r>
    </w:p>
    <w:p>
      <w:pPr>
        <w:pStyle w:val="Heading2"/>
        <w:spacing w:after="120" w:before="260"/>
      </w:pPr>
      <w:r>
        <w:t xml:space="preserve">2.2 Candidate design per query</w:t>
      </w:r>
    </w:p>
    <w:p>
      <w:pPr>
        <w:spacing w:after="160"/>
      </w:pPr>
      <w:r>
        <w:t xml:space="preserve">Each query's 5 candidate trips are deliberately varied rather than randomly homogeneous, so the study is not trivial and covers the proposal's own instruction to test “zero route overlap, exact schedule alignment, and conflicting gender preference constraints”:</w:t>
      </w:r>
    </w:p>
    <w:p>
      <w:pPr>
        <w:pStyle w:val="ListParagraph"/>
        <w:numPr>
          <w:ilvl w:val="0"/>
          <w:numId w:val="2"/>
        </w:numPr>
        <w:spacing w:after="80"/>
      </w:pPr>
      <w:r>
        <w:t xml:space="preserve">T1 — Clear positive: same origin area as the passenger, departure within ±5 minutes, no preference conflicts, seats available.</w:t>
      </w:r>
    </w:p>
    <w:p>
      <w:pPr>
        <w:pStyle w:val="ListParagraph"/>
        <w:numPr>
          <w:ilvl w:val="0"/>
          <w:numId w:val="2"/>
        </w:numPr>
        <w:spacing w:after="80"/>
      </w:pPr>
      <w:r>
        <w:t xml:space="preserve">T2 — Clear negative: a distant origin, departure 3–5 hours off.</w:t>
      </w:r>
    </w:p>
    <w:p>
      <w:pPr>
        <w:pStyle w:val="ListParagraph"/>
        <w:numPr>
          <w:ilvl w:val="0"/>
          <w:numId w:val="2"/>
        </w:numPr>
        <w:spacing w:after="80"/>
      </w:pPr>
      <w:r>
        <w:t xml:space="preserve">T3 — Borderline route overlap: origin moderately spread from the passenger's, isolated so only route overlap is in question.</w:t>
      </w:r>
    </w:p>
    <w:p>
      <w:pPr>
        <w:pStyle w:val="ListParagraph"/>
        <w:numPr>
          <w:ilvl w:val="0"/>
          <w:numId w:val="2"/>
        </w:numPr>
        <w:spacing w:after="80"/>
      </w:pPr>
      <w:r>
        <w:t xml:space="preserve">T4 — Borderline schedule: departure time set near the passenger's own flexibility window boundary, isolated so only timing is in question.</w:t>
      </w:r>
    </w:p>
    <w:p>
      <w:pPr>
        <w:pStyle w:val="ListParagraph"/>
        <w:numPr>
          <w:ilvl w:val="0"/>
          <w:numId w:val="2"/>
        </w:numPr>
        <w:spacing w:after="80"/>
      </w:pPr>
      <w:r>
        <w:t xml:space="preserve">T5 — Preference conflict: strong route and timing, but a deliberate hard-constraint failure (gender preference, familiar-riders-only, or zero seats).</w:t>
      </w:r>
    </w:p>
    <w:p>
      <w:pPr>
        <w:pStyle w:val="Heading2"/>
        <w:spacing w:after="120" w:before="260"/>
      </w:pPr>
      <w:r>
        <w:t xml:space="preserve">2.3 PSGA implementation</w:t>
      </w:r>
    </w:p>
    <w:p>
      <w:pPr>
        <w:spacing w:after="160"/>
      </w:pPr>
      <w:r>
        <w:t xml:space="preserve">The algorithm was ported to standalone Python, directly from the formulas in the proposal, isolated from the live Node.js application (no database or HTTP dependency), matching the proposal's own two-phase methodology of prototyping and unit-testing in Python before Node.js integration.</w:t>
      </w:r>
    </w:p>
    <w:p>
      <w:pPr>
        <w:shd w:fill="F2F2F2" w:val="clear"/>
        <w:spacing w:after="80"/>
      </w:pPr>
      <w:r>
        <w:rPr>
          <w:rFonts w:ascii="Consolas" w:cs="Consolas" w:eastAsia="Consolas" w:hAnsi="Consolas"/>
          <w:sz w:val="20"/>
          <w:szCs w:val="20"/>
        </w:rPr>
        <w:t xml:space="preserve">Stage 1 (filter):  RouteOverlap(P,H) = |segment(P) ∩ corridor(H)| / |segment(P)|</w:t>
      </w:r>
    </w:p>
    <w:p>
      <w:pPr>
        <w:shd w:fill="F2F2F2" w:val="clear"/>
        <w:spacing w:after="80"/>
      </w:pPr>
      <w:r>
        <w:rPr>
          <w:rFonts w:ascii="Consolas" w:cs="Consolas" w:eastAsia="Consolas" w:hAnsi="Consolas"/>
          <w:sz w:val="20"/>
          <w:szCs w:val="20"/>
        </w:rPr>
        <w:t xml:space="preserve">                    discard if RouteOverlap &lt; 0.4</w:t>
      </w:r>
    </w:p>
    <w:p>
      <w:pPr>
        <w:shd w:fill="F2F2F2" w:val="clear"/>
        <w:spacing w:after="80"/>
      </w:pPr>
      <w:r>
        <w:rPr>
          <w:rFonts w:ascii="Consolas" w:cs="Consolas" w:eastAsia="Consolas" w:hAnsi="Consolas"/>
          <w:sz w:val="20"/>
          <w:szCs w:val="20"/>
        </w:rPr>
        <w:t xml:space="preserve">                    TimeDiff(P,H) = |DepartureTime(P) − DepartureTime(H)|</w:t>
      </w:r>
    </w:p>
    <w:p>
      <w:pPr>
        <w:shd w:fill="F2F2F2" w:val="clear"/>
        <w:spacing w:after="80"/>
      </w:pPr>
      <w:r>
        <w:rPr>
          <w:rFonts w:ascii="Consolas" w:cs="Consolas" w:eastAsia="Consolas" w:hAnsi="Consolas"/>
          <w:sz w:val="20"/>
          <w:szCs w:val="20"/>
        </w:rPr>
        <w:t xml:space="preserve">                    discard if TimeDiff &gt; FlexWindow(P)  (default 15 min)</w:t>
      </w:r>
    </w:p>
    <w:p>
      <w:pPr>
        <w:shd w:fill="F2F2F2" w:val="clear"/>
        <w:spacing w:after="80"/>
      </w:pPr>
      <w:r>
        <w:rPr>
          <w:rFonts w:ascii="Consolas" w:cs="Consolas" w:eastAsia="Consolas" w:hAnsi="Consolas"/>
          <w:sz w:val="20"/>
          <w:szCs w:val="20"/>
        </w:rPr>
        <w:t xml:space="preserve">Stage 2 (score):   Score = 0.5·RouteOverlap + 0.3·ScheduleAlignment + 0.2·PreferenceMatch</w:t>
      </w:r>
    </w:p>
    <w:p>
      <w:pPr>
        <w:shd w:fill="F2F2F2" w:val="clear"/>
        <w:spacing w:after="80"/>
      </w:pPr>
      <w:r>
        <w:rPr>
          <w:rFonts w:ascii="Consolas" w:cs="Consolas" w:eastAsia="Consolas" w:hAnsi="Consolas"/>
          <w:sz w:val="20"/>
          <w:szCs w:val="20"/>
        </w:rPr>
        <w:t xml:space="preserve">                    ScheduleAlignment = 1 − (TimeDiff / FlexWindow)</w:t>
      </w:r>
    </w:p>
    <w:p>
      <w:pPr>
        <w:shd w:fill="F2F2F2" w:val="clear"/>
        <w:spacing w:after="80"/>
      </w:pPr>
      <w:r>
        <w:rPr>
          <w:rFonts w:ascii="Consolas" w:cs="Consolas" w:eastAsia="Consolas" w:hAnsi="Consolas"/>
          <w:sz w:val="20"/>
          <w:szCs w:val="20"/>
        </w:rPr>
        <w:t xml:space="preserve">                    PreferenceMatch = 1.0 if all hard constraints hold, else 0.0</w:t>
      </w:r>
    </w:p>
    <w:p>
      <w:pPr>
        <w:spacing w:after="160"/>
      </w:pPr>
      <w:r>
        <w:t xml:space="preserve">Route overlap uses a line-segment approximation of both routes (origin→destination, 20 sampled points), with a 500-meter tolerance corridor and Haversine distance — a documented simplification of the live application's real Maps-API routing, sufficient to test the scoring logic itself rather than reproduce real road geometry.</w:t>
      </w:r>
    </w:p>
    <w:p>
      <w:pPr>
        <w:pStyle w:val="Heading2"/>
        <w:spacing w:after="120" w:before="260"/>
      </w:pPr>
      <w:r>
        <w:t xml:space="preserve">2.4 Baseline methods</w:t>
      </w:r>
    </w:p>
    <w:p>
      <w:pPr>
        <w:spacing w:after="160"/>
      </w:pPr>
      <w:r>
        <w:t xml:space="preserve">Three baselines were implemented for comparison, per the proposal:</w:t>
      </w:r>
    </w:p>
    <w:p>
      <w:pPr>
        <w:pStyle w:val="ListParagraph"/>
        <w:numPr>
          <w:ilvl w:val="0"/>
          <w:numId w:val="2"/>
        </w:numPr>
        <w:spacing w:after="80"/>
      </w:pPr>
      <w:r>
        <w:t xml:space="preserve">Random ranking — Stage-1-filtered candidates, presented in random order.</w:t>
      </w:r>
    </w:p>
    <w:p>
      <w:pPr>
        <w:pStyle w:val="ListParagraph"/>
        <w:numPr>
          <w:ilvl w:val="0"/>
          <w:numId w:val="2"/>
        </w:numPr>
        <w:spacing w:after="80"/>
      </w:pPr>
      <w:r>
        <w:t xml:space="preserve">Route-only ranking — Stage-1-filtered candidates, ranked by route overlap alone.</w:t>
      </w:r>
    </w:p>
    <w:p>
      <w:pPr>
        <w:pStyle w:val="ListParagraph"/>
        <w:numPr>
          <w:ilvl w:val="0"/>
          <w:numId w:val="2"/>
        </w:numPr>
        <w:spacing w:after="80"/>
      </w:pPr>
      <w:r>
        <w:t xml:space="preserve">FIFO listing — unfiltered candidates, in posting order.</w:t>
      </w:r>
    </w:p>
    <w:p>
      <w:pPr>
        <w:pStyle w:val="Heading2"/>
        <w:spacing w:after="120" w:before="260"/>
      </w:pPr>
      <w:r>
        <w:t xml:space="preserve">2.5 Ground truth labeling</w:t>
      </w:r>
    </w:p>
    <w:p>
      <w:pPr>
        <w:spacing w:after="160"/>
      </w:pPr>
      <w:r>
        <w:t xml:space="preserve">Two evaluators independently judged all 500 pairs as “acceptable match” or “not a match,” using a rubric phrased in real-world terms — route reasonableness (shown via a simplified map), timing feasibility, and stated preference/safety compliance — rather than the algorithm's own numeric thresholds, so the ground truth is not circular. No algorithm scores were shown to evaluators. A third evaluator resolved every pair where the first two disagreed.</w:t>
      </w:r>
    </w:p>
    <w:p>
      <w:pPr>
        <w:spacing w:after="160"/>
      </w:pPr>
      <w:r>
        <w:t xml:space="preserve">Final labeling outcome: </w:t>
      </w:r>
      <w:r>
        <w:rPr>
          <w:b/>
          <w:bCs/>
        </w:rPr>
        <w:t xml:space="preserve">358 of 500 pairs (71.6%) were agreed on by both evaluators; the remaining 142 (28.4%) were resolved by the tiebreaker. All 500 pairs received a final label — none were left unresolved.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200"/>
        <w:gridCol w:w="1640"/>
      </w:tblGrid>
      <w:tr>
        <w:trPr>
          <w:tblHeader/>
        </w:trPr>
        <w:tc>
          <w:tcPr>
            <w:tcW w:type="dxa" w:w="2600"/>
            <w:shd w:fill="1F3D2E" w:val="clear"/>
          </w:tcPr>
          <w:p>
            <w:pPr>
              <w:jc w:val="left"/>
            </w:pPr>
            <w:r>
              <w:rPr>
                <w:b/>
                <w:bCs/>
              </w:rPr>
              <w:t xml:space="preserve">Role</w:t>
            </w:r>
          </w:p>
        </w:tc>
        <w:tc>
          <w:tcPr>
            <w:tcW w:type="dxa" w:w="2600"/>
            <w:shd w:fill="1F3D2E" w:val="clear"/>
          </w:tcPr>
          <w:p>
            <w:pPr>
              <w:jc w:val="left"/>
            </w:pPr>
            <w:r>
              <w:rPr>
                <w:b/>
                <w:bCs/>
              </w:rPr>
              <w:t xml:space="preserve">Pairs labeled</w:t>
            </w:r>
          </w:p>
        </w:tc>
        <w:tc>
          <w:tcPr>
            <w:tcW w:type="dxa" w:w="3200"/>
            <w:shd w:fill="1F3D2E" w:val="clear"/>
          </w:tcPr>
          <w:p>
            <w:pPr>
              <w:jc w:val="left"/>
            </w:pPr>
            <w:r>
              <w:rPr>
                <w:b/>
                <w:bCs/>
              </w:rPr>
              <w:t xml:space="preserve">Accepted (“acceptable match”)</w:t>
            </w:r>
          </w:p>
        </w:tc>
        <w:tc>
          <w:tcPr>
            <w:tcW w:type="dxa" w:w="1640"/>
            <w:shd w:fill="1F3D2E" w:val="clear"/>
          </w:tcPr>
          <w:p>
            <w:pPr>
              <w:jc w:val="left"/>
            </w:pPr>
            <w:r>
              <w:rPr>
                <w:b/>
                <w:bCs/>
              </w:rPr>
              <w:t xml:space="preserve">Accept rate</w:t>
            </w:r>
          </w:p>
        </w:tc>
      </w:tr>
      <w:tr>
        <w:tc>
          <w:tcPr>
            <w:tcW w:type="dxa" w:w="2600"/>
          </w:tcPr>
          <w:p>
            <w:pPr>
              <w:jc w:val="left"/>
            </w:pPr>
            <w:r>
              <w:rPr>
                <w:b w:val="false"/>
                <w:bCs w:val="false"/>
              </w:rPr>
              <w:t xml:space="preserve">Evaluator 1</w:t>
            </w:r>
          </w:p>
        </w:tc>
        <w:tc>
          <w:tcPr>
            <w:tcW w:type="dxa" w:w="2600"/>
          </w:tcPr>
          <w:p>
            <w:pPr>
              <w:jc w:val="left"/>
            </w:pPr>
            <w:r>
              <w:rPr>
                <w:b w:val="false"/>
                <w:bCs w:val="false"/>
              </w:rPr>
              <w:t xml:space="preserve">500 / 500</w:t>
            </w:r>
          </w:p>
        </w:tc>
        <w:tc>
          <w:tcPr>
            <w:tcW w:type="dxa" w:w="3200"/>
          </w:tcPr>
          <w:p>
            <w:pPr>
              <w:jc w:val="left"/>
            </w:pPr>
            <w:r>
              <w:rPr>
                <w:b w:val="false"/>
                <w:bCs w:val="false"/>
              </w:rPr>
              <w:t xml:space="preserve">88</w:t>
            </w:r>
          </w:p>
        </w:tc>
        <w:tc>
          <w:tcPr>
            <w:tcW w:type="dxa" w:w="1640"/>
          </w:tcPr>
          <w:p>
            <w:pPr>
              <w:jc w:val="left"/>
            </w:pPr>
            <w:r>
              <w:rPr>
                <w:b w:val="false"/>
                <w:bCs w:val="false"/>
              </w:rPr>
              <w:t xml:space="preserve">17.6%</w:t>
            </w:r>
          </w:p>
        </w:tc>
      </w:tr>
      <w:tr>
        <w:tc>
          <w:tcPr>
            <w:tcW w:type="dxa" w:w="2600"/>
            <w:shd w:fill="F4F7F5" w:val="clear"/>
          </w:tcPr>
          <w:p>
            <w:pPr>
              <w:jc w:val="left"/>
            </w:pPr>
            <w:r>
              <w:rPr>
                <w:b w:val="false"/>
                <w:bCs w:val="false"/>
              </w:rPr>
              <w:t xml:space="preserve">Evaluator 2 (Von)</w:t>
            </w:r>
          </w:p>
        </w:tc>
        <w:tc>
          <w:tcPr>
            <w:tcW w:type="dxa" w:w="2600"/>
            <w:shd w:fill="F4F7F5" w:val="clear"/>
          </w:tcPr>
          <w:p>
            <w:pPr>
              <w:jc w:val="left"/>
            </w:pPr>
            <w:r>
              <w:rPr>
                <w:b w:val="false"/>
                <w:bCs w:val="false"/>
              </w:rPr>
              <w:t xml:space="preserve">500 / 500</w:t>
            </w:r>
          </w:p>
        </w:tc>
        <w:tc>
          <w:tcPr>
            <w:tcW w:type="dxa" w:w="3200"/>
            <w:shd w:fill="F4F7F5" w:val="clear"/>
          </w:tcPr>
          <w:p>
            <w:pPr>
              <w:jc w:val="left"/>
            </w:pPr>
            <w:r>
              <w:rPr>
                <w:b w:val="false"/>
                <w:bCs w:val="false"/>
              </w:rPr>
              <w:t xml:space="preserve">140</w:t>
            </w:r>
          </w:p>
        </w:tc>
        <w:tc>
          <w:tcPr>
            <w:tcW w:type="dxa" w:w="1640"/>
            <w:shd w:fill="F4F7F5" w:val="clear"/>
          </w:tcPr>
          <w:p>
            <w:pPr>
              <w:jc w:val="left"/>
            </w:pPr>
            <w:r>
              <w:rPr>
                <w:b w:val="false"/>
                <w:bCs w:val="false"/>
              </w:rPr>
              <w:t xml:space="preserve">28.0%</w:t>
            </w:r>
          </w:p>
        </w:tc>
      </w:tr>
      <w:tr>
        <w:tc>
          <w:tcPr>
            <w:tcW w:type="dxa" w:w="2600"/>
          </w:tcPr>
          <w:p>
            <w:pPr>
              <w:jc w:val="left"/>
            </w:pPr>
            <w:r>
              <w:rPr>
                <w:b w:val="false"/>
                <w:bCs w:val="false"/>
              </w:rPr>
              <w:t xml:space="preserve">Tiebreaker (Xyrus)</w:t>
            </w:r>
          </w:p>
        </w:tc>
        <w:tc>
          <w:tcPr>
            <w:tcW w:type="dxa" w:w="2600"/>
          </w:tcPr>
          <w:p>
            <w:pPr>
              <w:jc w:val="left"/>
            </w:pPr>
            <w:r>
              <w:rPr>
                <w:b w:val="false"/>
                <w:bCs w:val="false"/>
              </w:rPr>
              <w:t xml:space="preserve">142 / 142 disagreements</w:t>
            </w:r>
          </w:p>
        </w:tc>
        <w:tc>
          <w:tcPr>
            <w:tcW w:type="dxa" w:w="3200"/>
          </w:tcPr>
          <w:p>
            <w:pPr>
              <w:jc w:val="left"/>
            </w:pPr>
            <w:r>
              <w:rPr>
                <w:b w:val="false"/>
                <w:bCs w:val="false"/>
              </w:rPr>
              <w:t xml:space="preserve">—</w:t>
            </w:r>
          </w:p>
        </w:tc>
        <w:tc>
          <w:tcPr>
            <w:tcW w:type="dxa" w:w="1640"/>
          </w:tcPr>
          <w:p>
            <w:pPr>
              <w:jc w:val="left"/>
            </w:pPr>
            <w:r>
              <w:rPr>
                <w:b w:val="false"/>
                <w:bCs w:val="false"/>
              </w:rPr>
              <w:t xml:space="preserve">—</w:t>
            </w:r>
          </w:p>
        </w:tc>
      </w:tr>
    </w:tbl>
    <w:p>
      <w:pPr>
        <w:spacing w:after="200"/>
      </w:pPr>
    </w:p>
    <w:p>
      <w:pPr>
        <w:spacing w:after="160"/>
      </w:pPr>
      <w:r>
        <w:t xml:space="preserve">The overall positive rate in the final ground truth is 168 / 500 (33.6%) — lower than 50% by design, since the dataset intentionally weights each query toward hard negatives (T2 and T5 are built to fail, and T3/T4 deliberately sit on a decision boundary).</w:t>
      </w:r>
    </w:p>
    <w:p>
      <w:pPr>
        <w:pStyle w:val="Heading2"/>
        <w:spacing w:after="120" w:before="260"/>
      </w:pPr>
      <w:r>
        <w:t xml:space="preserve">2.6 Mid-study corrections</w:t>
      </w:r>
    </w:p>
    <w:p>
      <w:pPr>
        <w:spacing w:after="160"/>
      </w:pPr>
      <w:r>
        <w:t xml:space="preserve">Two issues were identified and addressed during the study, in the interest of methodological transparency:</w:t>
      </w:r>
    </w:p>
    <w:p>
      <w:pPr>
        <w:pStyle w:val="ListParagraph"/>
        <w:numPr>
          <w:ilvl w:val="1"/>
          <w:numId w:val="2"/>
        </w:numPr>
        <w:spacing w:after="80"/>
      </w:pPr>
      <w:r>
        <w:t xml:space="preserve">Dataset generator fix — a review of early labeling found that T1 (and, by the same mechanism, T3 and T4) could secretly fail the algorithm's own PreferenceMatch check: the generator pinned the driver's stated gender preference to “any rider,” but left the driver's actual gender random, and PSGA's PreferenceMatch also checks the passenger's own same-gender-only preference against the driver's actual gender. This meant roughly a fifth of “clean” T1/T3/T4 rows secretly contained an unintended preference conflict, confirmed by cross-checking PSGA's own computed fields against evaluator rejections. The generator was corrected to pin driver gender to the passenger's gender on these three slots, isolating them to test only what they were designed to test. This fix is documented in generate_dataset.py; the already-collected ground truth was intentionally left on the original dataset rather than regenerated, since regenerating would discard all completed evaluator labeling — this is discussed as a limitation in Section 4.</w:t>
      </w:r>
    </w:p>
    <w:p>
      <w:pPr>
        <w:pStyle w:val="ListParagraph"/>
        <w:numPr>
          <w:ilvl w:val="1"/>
          <w:numId w:val="2"/>
        </w:numPr>
        <w:spacing w:after="80"/>
      </w:pPr>
      <w:r>
        <w:t xml:space="preserve">Evaluator calibration — a substantial gap in overall accept rate was observed between the two evaluators (17.6% vs. 28.0%, Section 3.1), including on pairs designed to be unambiguous. This was raised directly with both evaluators mid-study, using concrete example pairs, to confirm a shared understanding of the rubric before the tiebreak was finalized.</w:t>
      </w:r>
    </w:p>
    <w:p>
      <w:pPr>
        <w:pStyle w:val="Heading1"/>
        <w:spacing w:after="160" w:before="320"/>
      </w:pPr>
      <w:r>
        <w:t xml:space="preserve">3. Results</w:t>
      </w:r>
    </w:p>
    <w:p>
      <w:pPr>
        <w:pStyle w:val="Heading2"/>
        <w:spacing w:after="120" w:before="260"/>
      </w:pPr>
      <w:r>
        <w:t xml:space="preserve">3.1 Algorithm comparison</w:t>
      </w:r>
    </w:p>
    <w:p>
      <w:pPr>
        <w:spacing w:after="160"/>
      </w:pPr>
      <w:r>
        <w:t xml:space="preserve">Each method's output for a query was compared against the query's ground-truth-positive candidate(s). Of the 100 queries, 8 had no ground-truth-positive candidate at all among their 5 options and are excluded from these metrics (undefined precision/recall), leaving 92 queries scored.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400"/>
        <w:gridCol w:w="2400"/>
        <w:gridCol w:w="1740"/>
      </w:tblGrid>
      <w:tr>
        <w:trPr>
          <w:tblHeader/>
        </w:trPr>
        <w:tc>
          <w:tcPr>
            <w:tcW w:type="dxa" w:w="2800"/>
            <w:shd w:fill="1F3D2E" w:val="clear"/>
          </w:tcPr>
          <w:p>
            <w:pPr>
              <w:jc w:val="left"/>
            </w:pPr>
            <w:r>
              <w:rPr>
                <w:b/>
                <w:bCs/>
              </w:rPr>
              <w:t xml:space="preserve">Method</w:t>
            </w:r>
          </w:p>
        </w:tc>
        <w:tc>
          <w:tcPr>
            <w:tcW w:type="dxa" w:w="1700"/>
            <w:shd w:fill="1F3D2E" w:val="clear"/>
          </w:tcPr>
          <w:p>
            <w:pPr>
              <w:jc w:val="center"/>
            </w:pPr>
            <w:r>
              <w:rPr>
                <w:b/>
                <w:bCs/>
              </w:rPr>
              <w:t xml:space="preserve">Precision@1</w:t>
            </w:r>
          </w:p>
        </w:tc>
        <w:tc>
          <w:tcPr>
            <w:tcW w:type="dxa" w:w="1400"/>
            <w:shd w:fill="1F3D2E" w:val="clear"/>
          </w:tcPr>
          <w:p>
            <w:pPr>
              <w:jc w:val="center"/>
            </w:pPr>
            <w:r>
              <w:rPr>
                <w:b/>
                <w:bCs/>
              </w:rPr>
              <w:t xml:space="preserve">Recall</w:t>
            </w:r>
          </w:p>
        </w:tc>
        <w:tc>
          <w:tcPr>
            <w:tcW w:type="dxa" w:w="2400"/>
            <w:shd w:fill="1F3D2E" w:val="clear"/>
          </w:tcPr>
          <w:p>
            <w:pPr>
              <w:jc w:val="center"/>
            </w:pPr>
            <w:r>
              <w:rPr>
                <w:b/>
                <w:bCs/>
              </w:rPr>
              <w:t xml:space="preserve">Mean rank of first hit</w:t>
            </w:r>
          </w:p>
        </w:tc>
        <w:tc>
          <w:tcPr>
            <w:tcW w:type="dxa" w:w="1740"/>
            <w:shd w:fill="1F3D2E" w:val="clear"/>
          </w:tcPr>
          <w:p>
            <w:pPr>
              <w:jc w:val="center"/>
            </w:pPr>
            <w:r>
              <w:rPr>
                <w:b/>
                <w:bCs/>
              </w:rPr>
              <w:t xml:space="preserve">Queries scored</w:t>
            </w:r>
          </w:p>
        </w:tc>
      </w:tr>
      <w:tr>
        <w:tc>
          <w:tcPr>
            <w:tcW w:type="dxa" w:w="2800"/>
            <w:shd w:fill="E4EFEC" w:val="clear"/>
          </w:tcPr>
          <w:p>
            <w:pPr>
              <w:jc w:val="left"/>
            </w:pPr>
            <w:r>
              <w:rPr>
                <w:b/>
                <w:bCs/>
              </w:rPr>
              <w:t xml:space="preserve">PSGA (proposed)</w:t>
            </w:r>
          </w:p>
        </w:tc>
        <w:tc>
          <w:tcPr>
            <w:tcW w:type="dxa" w:w="1700"/>
            <w:shd w:fill="E4EFEC" w:val="clear"/>
          </w:tcPr>
          <w:p>
            <w:pPr>
              <w:jc w:val="center"/>
            </w:pPr>
            <w:r>
              <w:rPr>
                <w:b w:val="false"/>
                <w:bCs w:val="false"/>
              </w:rPr>
              <w:t xml:space="preserve">82.6%</w:t>
            </w:r>
          </w:p>
        </w:tc>
        <w:tc>
          <w:tcPr>
            <w:tcW w:type="dxa" w:w="1400"/>
            <w:shd w:fill="E4EFEC" w:val="clear"/>
          </w:tcPr>
          <w:p>
            <w:pPr>
              <w:jc w:val="center"/>
            </w:pPr>
            <w:r>
              <w:rPr>
                <w:b w:val="false"/>
                <w:bCs w:val="false"/>
              </w:rPr>
              <w:t xml:space="preserve">87.5%</w:t>
            </w:r>
          </w:p>
        </w:tc>
        <w:tc>
          <w:tcPr>
            <w:tcW w:type="dxa" w:w="2400"/>
            <w:shd w:fill="E4EFEC" w:val="clear"/>
          </w:tcPr>
          <w:p>
            <w:pPr>
              <w:jc w:val="center"/>
            </w:pPr>
            <w:r>
              <w:rPr>
                <w:b w:val="false"/>
                <w:bCs w:val="false"/>
              </w:rPr>
              <w:t xml:space="preserve">1.227</w:t>
            </w:r>
          </w:p>
        </w:tc>
        <w:tc>
          <w:tcPr>
            <w:tcW w:type="dxa" w:w="1740"/>
            <w:shd w:fill="E4EFEC" w:val="clear"/>
          </w:tcPr>
          <w:p>
            <w:pPr>
              <w:jc w:val="center"/>
            </w:pPr>
            <w:r>
              <w:rPr>
                <w:b w:val="false"/>
                <w:bCs w:val="false"/>
              </w:rPr>
              <w:t xml:space="preserve">92 / 100</w:t>
            </w:r>
          </w:p>
        </w:tc>
      </w:tr>
      <w:tr>
        <w:tc>
          <w:tcPr>
            <w:tcW w:type="dxa" w:w="2800"/>
          </w:tcPr>
          <w:p>
            <w:pPr>
              <w:jc w:val="left"/>
            </w:pPr>
            <w:r>
              <w:rPr>
                <w:b w:val="false"/>
                <w:bCs w:val="false"/>
              </w:rPr>
              <w:t xml:space="preserve">Random ranking</w:t>
            </w:r>
          </w:p>
        </w:tc>
        <w:tc>
          <w:tcPr>
            <w:tcW w:type="dxa" w:w="1700"/>
          </w:tcPr>
          <w:p>
            <w:pPr>
              <w:jc w:val="center"/>
            </w:pPr>
            <w:r>
              <w:rPr>
                <w:b w:val="false"/>
                <w:bCs w:val="false"/>
              </w:rPr>
              <w:t xml:space="preserve">56.5%</w:t>
            </w:r>
          </w:p>
        </w:tc>
        <w:tc>
          <w:tcPr>
            <w:tcW w:type="dxa" w:w="1400"/>
          </w:tcPr>
          <w:p>
            <w:pPr>
              <w:jc w:val="center"/>
            </w:pPr>
            <w:r>
              <w:rPr>
                <w:b w:val="false"/>
                <w:bCs w:val="false"/>
              </w:rPr>
              <w:t xml:space="preserve">87.5%</w:t>
            </w:r>
          </w:p>
        </w:tc>
        <w:tc>
          <w:tcPr>
            <w:tcW w:type="dxa" w:w="2400"/>
          </w:tcPr>
          <w:p>
            <w:pPr>
              <w:jc w:val="center"/>
            </w:pPr>
            <w:r>
              <w:rPr>
                <w:b w:val="false"/>
                <w:bCs w:val="false"/>
              </w:rPr>
              <w:t xml:space="preserve">1.614</w:t>
            </w:r>
          </w:p>
        </w:tc>
        <w:tc>
          <w:tcPr>
            <w:tcW w:type="dxa" w:w="1740"/>
          </w:tcPr>
          <w:p>
            <w:pPr>
              <w:jc w:val="center"/>
            </w:pPr>
            <w:r>
              <w:rPr>
                <w:b w:val="false"/>
                <w:bCs w:val="false"/>
              </w:rPr>
              <w:t xml:space="preserve">92 / 100</w:t>
            </w:r>
          </w:p>
        </w:tc>
      </w:tr>
      <w:tr>
        <w:tc>
          <w:tcPr>
            <w:tcW w:type="dxa" w:w="2800"/>
          </w:tcPr>
          <w:p>
            <w:pPr>
              <w:jc w:val="left"/>
            </w:pPr>
            <w:r>
              <w:rPr>
                <w:b w:val="false"/>
                <w:bCs w:val="false"/>
              </w:rPr>
              <w:t xml:space="preserve">Route-only ranking</w:t>
            </w:r>
          </w:p>
        </w:tc>
        <w:tc>
          <w:tcPr>
            <w:tcW w:type="dxa" w:w="1700"/>
          </w:tcPr>
          <w:p>
            <w:pPr>
              <w:jc w:val="center"/>
            </w:pPr>
            <w:r>
              <w:rPr>
                <w:b w:val="false"/>
                <w:bCs w:val="false"/>
              </w:rPr>
              <w:t xml:space="preserve">72.8%</w:t>
            </w:r>
          </w:p>
        </w:tc>
        <w:tc>
          <w:tcPr>
            <w:tcW w:type="dxa" w:w="1400"/>
          </w:tcPr>
          <w:p>
            <w:pPr>
              <w:jc w:val="center"/>
            </w:pPr>
            <w:r>
              <w:rPr>
                <w:b w:val="false"/>
                <w:bCs w:val="false"/>
              </w:rPr>
              <w:t xml:space="preserve">87.5%</w:t>
            </w:r>
          </w:p>
        </w:tc>
        <w:tc>
          <w:tcPr>
            <w:tcW w:type="dxa" w:w="2400"/>
          </w:tcPr>
          <w:p>
            <w:pPr>
              <w:jc w:val="center"/>
            </w:pPr>
            <w:r>
              <w:rPr>
                <w:b w:val="false"/>
                <w:bCs w:val="false"/>
              </w:rPr>
              <w:t xml:space="preserve">1.341</w:t>
            </w:r>
          </w:p>
        </w:tc>
        <w:tc>
          <w:tcPr>
            <w:tcW w:type="dxa" w:w="1740"/>
          </w:tcPr>
          <w:p>
            <w:pPr>
              <w:jc w:val="center"/>
            </w:pPr>
            <w:r>
              <w:rPr>
                <w:b w:val="false"/>
                <w:bCs w:val="false"/>
              </w:rPr>
              <w:t xml:space="preserve">92 / 100</w:t>
            </w:r>
          </w:p>
        </w:tc>
      </w:tr>
      <w:tr>
        <w:tc>
          <w:tcPr>
            <w:tcW w:type="dxa" w:w="2800"/>
          </w:tcPr>
          <w:p>
            <w:pPr>
              <w:jc w:val="left"/>
            </w:pPr>
            <w:r>
              <w:rPr>
                <w:b w:val="false"/>
                <w:bCs w:val="false"/>
              </w:rPr>
              <w:t xml:space="preserve">FIFO (posting order)</w:t>
            </w:r>
          </w:p>
        </w:tc>
        <w:tc>
          <w:tcPr>
            <w:tcW w:type="dxa" w:w="1700"/>
          </w:tcPr>
          <w:p>
            <w:pPr>
              <w:jc w:val="center"/>
            </w:pPr>
            <w:r>
              <w:rPr>
                <w:b w:val="false"/>
                <w:bCs w:val="false"/>
              </w:rPr>
              <w:t xml:space="preserve">80.4%</w:t>
            </w:r>
          </w:p>
        </w:tc>
        <w:tc>
          <w:tcPr>
            <w:tcW w:type="dxa" w:w="1400"/>
          </w:tcPr>
          <w:p>
            <w:pPr>
              <w:jc w:val="center"/>
            </w:pPr>
            <w:r>
              <w:rPr>
                <w:b w:val="false"/>
                <w:bCs w:val="false"/>
              </w:rPr>
              <w:t xml:space="preserve">100.0%</w:t>
            </w:r>
          </w:p>
        </w:tc>
        <w:tc>
          <w:tcPr>
            <w:tcW w:type="dxa" w:w="2400"/>
          </w:tcPr>
          <w:p>
            <w:pPr>
              <w:jc w:val="center"/>
            </w:pPr>
            <w:r>
              <w:rPr>
                <w:b w:val="false"/>
                <w:bCs w:val="false"/>
              </w:rPr>
              <w:t xml:space="preserve">1.457</w:t>
            </w:r>
          </w:p>
        </w:tc>
        <w:tc>
          <w:tcPr>
            <w:tcW w:type="dxa" w:w="1740"/>
          </w:tcPr>
          <w:p>
            <w:pPr>
              <w:jc w:val="center"/>
            </w:pPr>
            <w:r>
              <w:rPr>
                <w:b w:val="false"/>
                <w:bCs w:val="false"/>
              </w:rPr>
              <w:t xml:space="preserve">92 / 100</w:t>
            </w:r>
          </w:p>
        </w:tc>
      </w:tr>
    </w:tbl>
    <w:p>
      <w:pPr>
        <w:spacing w:after="240"/>
      </w:pPr>
    </w:p>
    <w:p>
      <w:pPr>
        <w:pStyle w:val="Heading2"/>
        <w:spacing w:after="120" w:before="260"/>
      </w:pPr>
      <w:r>
        <w:t xml:space="preserve">3.2 Interpretation</w:t>
      </w:r>
    </w:p>
    <w:p>
      <w:pPr>
        <w:spacing w:after="160"/>
      </w:pPr>
      <w:r>
        <w:t xml:space="preserve">PSGA achieved the highest precision at rank 1 (82.6%) among the three methods that share the same Stage-1-filtered candidate pool, clearly outperforming random ordering (56.5%) and route overlap alone (72.8%). It also achieved the lowest (best) mean rank of the first acceptable match (1.227), meaning that even when its top pick was not itself the ground-truth positive, the correct match was still found very close to the top of its ranked list. This is the core evidence that PSGA's weighted combination of route overlap, schedule alignment, and preference matching outperforms either a simpler single-factor ranking or no ranking logic at all.</w:t>
      </w:r>
    </w:p>
    <w:p>
      <w:pPr>
        <w:spacing w:after="160"/>
      </w:pPr>
      <w:r>
        <w:t xml:space="preserve">Recall is identical (87.5%) across PSGA, random, and route-only, because all three share the same Stage 1 filtering step — recall here measures whether Stage 1 itself ever discards a genuine match, not ranking quality, so it cannot distinguish between the three Stage-2 ranking strategies. FIFO's recall is 100% because it applies no filtering at all and simply presents every candidate.</w:t>
      </w:r>
    </w:p>
    <w:p>
      <w:pPr>
        <w:spacing w:after="160"/>
      </w:pPr>
      <w:r>
        <w:t xml:space="preserve">FIFO's precision@1 (80.4%) is notably close to PSGA's despite having no matching logic whatsoever. This is a property of how the synthetic dataset was constructed, not evidence that posting order predicts match quality: the “clear positive” candidate (T1) is always generated and posted first within each query, so FIFO's “oldest post” pick is disproportionately likely to already be the ground-truth-correct answer. In a real deployment, posting time and match quality are independent, so this structural advantage would not be expected to hold. This is noted here as an explicit limitation of the FIFO baseline comparison specifically — it does not affect the random or route-only comparisons, which remain the more informative baselines for isolating what PSGA's weighting actually contributes.</w:t>
      </w:r>
    </w:p>
    <w:p>
      <w:pPr>
        <w:pStyle w:val="Heading1"/>
        <w:spacing w:after="160" w:before="320"/>
      </w:pPr>
      <w:r>
        <w:t xml:space="preserve">4. Limitations</w:t>
      </w:r>
    </w:p>
    <w:p>
      <w:pPr>
        <w:pStyle w:val="ListParagraph"/>
        <w:numPr>
          <w:ilvl w:val="0"/>
          <w:numId w:val="2"/>
        </w:numPr>
        <w:spacing w:after="80"/>
      </w:pPr>
      <w:r>
        <w:t xml:space="preserve">Synthetic data: chosen because the platform had no pre-existing user base at the time of evaluation, per the proposal. Real-user validation of the full application (not the algorithm in isolation) is a separate, later evaluation stream.</w:t>
      </w:r>
    </w:p>
    <w:p>
      <w:pPr>
        <w:pStyle w:val="ListParagraph"/>
        <w:numPr>
          <w:ilvl w:val="0"/>
          <w:numId w:val="2"/>
        </w:numPr>
        <w:spacing w:after="80"/>
      </w:pPr>
      <w:r>
        <w:t xml:space="preserve">Route geometry: both routes are approximated as straight lines between origin and destination, rather than real road geometry from a routing API. This tests the scoring logic itself, not real-world route fidelity.</w:t>
      </w:r>
    </w:p>
    <w:p>
      <w:pPr>
        <w:pStyle w:val="ListParagraph"/>
        <w:numPr>
          <w:ilvl w:val="0"/>
          <w:numId w:val="2"/>
        </w:numPr>
        <w:spacing w:after="80"/>
      </w:pPr>
      <w:r>
        <w:t xml:space="preserve">Inter-rater disagreement: a 28.4% disagreement rate between the two primary evaluators is non-trivial and is reported openly rather than smoothed over; a mid-study calibration discussion addressed the largest source of divergence, but some residual subjectivity in “acceptable match” judgments should be expected and is a normal property of human-judged ground truth.</w:t>
      </w:r>
    </w:p>
    <w:p>
      <w:pPr>
        <w:pStyle w:val="ListParagraph"/>
        <w:numPr>
          <w:ilvl w:val="0"/>
          <w:numId w:val="2"/>
        </w:numPr>
        <w:spacing w:after="80"/>
      </w:pPr>
      <w:r>
        <w:t xml:space="preserve">FIFO baseline confound: as discussed in Section 3.2, FIFO's precision@1 benefits from a structural artifact of the dataset generator (T1 always posted first) and should not be read as evidence that posting order is a good predictor of match quality in general.</w:t>
      </w:r>
    </w:p>
    <w:p>
      <w:pPr>
        <w:pStyle w:val="ListParagraph"/>
        <w:numPr>
          <w:ilvl w:val="0"/>
          <w:numId w:val="2"/>
        </w:numPr>
        <w:spacing w:after="80"/>
      </w:pPr>
      <w:r>
        <w:t xml:space="preserve">Dataset generator correction: the gender-preference fix described in Section 2.6 was applied to the generator script for correctness going forward, but the already-labeled 500-pair dataset was not regenerated, to preserve completed evaluator work. A small fraction of the reported ground truth may therefore reflect pairs where an unintended preference conflict was present but not obviously visible; this is judged to be a minor effect given evaluators were shown each pair's actual preference fields directly.</w:t>
      </w:r>
    </w:p>
    <w:p>
      <w:pPr>
        <w:pStyle w:val="Heading1"/>
        <w:spacing w:after="160" w:before="320"/>
      </w:pPr>
      <w:r>
        <w:t xml:space="preserve">5. Reproducibility</w:t>
      </w:r>
    </w:p>
    <w:p>
      <w:pPr>
        <w:spacing w:after="160"/>
      </w:pPr>
      <w:r>
        <w:t xml:space="preserve">All code and data for this study are self-contained and reproducible from a fixed random seed:</w:t>
      </w:r>
    </w:p>
    <w:p>
      <w:pPr>
        <w:pStyle w:val="ListParagraph"/>
        <w:numPr>
          <w:ilvl w:val="0"/>
          <w:numId w:val="2"/>
        </w:numPr>
        <w:spacing w:after="80"/>
      </w:pPr>
      <w:r>
        <w:t xml:space="preserve">psga.py — the PSGA algorithm and all three baselines</w:t>
      </w:r>
    </w:p>
    <w:p>
      <w:pPr>
        <w:pStyle w:val="ListParagraph"/>
        <w:numPr>
          <w:ilvl w:val="0"/>
          <w:numId w:val="2"/>
        </w:numPr>
        <w:spacing w:after="80"/>
      </w:pPr>
      <w:r>
        <w:t xml:space="preserve">generate_dataset.py — builds the 500-pair synthetic dataset (seed 20260907)</w:t>
      </w:r>
    </w:p>
    <w:p>
      <w:pPr>
        <w:pStyle w:val="ListParagraph"/>
        <w:numPr>
          <w:ilvl w:val="0"/>
          <w:numId w:val="2"/>
        </w:numPr>
        <w:spacing w:after="80"/>
      </w:pPr>
      <w:r>
        <w:t xml:space="preserve">dataset_500_pairs.json — the generated dataset used in this study</w:t>
      </w:r>
    </w:p>
    <w:p>
      <w:pPr>
        <w:pStyle w:val="ListParagraph"/>
        <w:numPr>
          <w:ilvl w:val="0"/>
          <w:numId w:val="2"/>
        </w:numPr>
        <w:spacing w:after="80"/>
      </w:pPr>
      <w:r>
        <w:t xml:space="preserve">run_methods.py / method_rankings.json — runs all four methods and records their rankings</w:t>
      </w:r>
    </w:p>
    <w:p>
      <w:pPr>
        <w:pStyle w:val="ListParagraph"/>
        <w:numPr>
          <w:ilvl w:val="0"/>
          <w:numId w:val="2"/>
        </w:numPr>
        <w:spacing w:after="80"/>
      </w:pPr>
      <w:r>
        <w:t xml:space="preserve">ground_truth.json — the final human-labeled ground truth (500/500 labeled)</w:t>
      </w:r>
    </w:p>
    <w:p>
      <w:pPr>
        <w:pStyle w:val="ListParagraph"/>
        <w:numPr>
          <w:ilvl w:val="0"/>
          <w:numId w:val="2"/>
        </w:numPr>
        <w:spacing w:after="80"/>
      </w:pPr>
      <w:r>
        <w:t xml:space="preserve">score_against_ground_truth.py — computes the Section 3.1 results table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73"/>
        <w:sz w:val="16"/>
        <w:szCs w:val="16"/>
      </w:rPr>
      <w:t xml:space="preserve">Page </w:t>
    </w:r>
    <w:r>
      <w:rPr>
        <w:color w:val="6B7A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A73"/>
        <w:sz w:val="16"/>
        <w:szCs w:val="16"/>
      </w:rPr>
      <w:t xml:space="preserve">RideShareEU — PSGA Algorithm Validation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2026-09-13T11:25:13.396Z</dcterms:created>
  <dcterms:modified xsi:type="dcterms:W3CDTF">2026-09-13T11:25:13.409Z</dcterms:modified>
</cp:coreProperties>
</file>

<file path=docProps/custom.xml><?xml version="1.0" encoding="utf-8"?>
<Properties xmlns="http://schemas.openxmlformats.org/officeDocument/2006/custom-properties" xmlns:vt="http://schemas.openxmlformats.org/officeDocument/2006/docPropsVTypes"/>
</file>