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A63" w:rsidRDefault="007529A7" w:rsidP="003A1A1B">
      <w:pPr>
        <w:spacing w:after="0"/>
      </w:pPr>
      <w:r>
        <w:t xml:space="preserve">Ryan </w:t>
      </w:r>
      <w:proofErr w:type="spellStart"/>
      <w:r>
        <w:t>Kladar</w:t>
      </w:r>
      <w:proofErr w:type="spellEnd"/>
      <w:r w:rsidR="00776B85">
        <w:t xml:space="preserve"> (s141094)</w:t>
      </w:r>
    </w:p>
    <w:p w:rsidR="007529A7" w:rsidRDefault="00A32174" w:rsidP="003A1A1B">
      <w:pPr>
        <w:spacing w:after="0"/>
      </w:pPr>
      <w:r>
        <w:t>Course 02402 – Introductory Statistics</w:t>
      </w:r>
    </w:p>
    <w:p w:rsidR="00A32174" w:rsidRDefault="00A32174" w:rsidP="003A1A1B">
      <w:pPr>
        <w:spacing w:after="0"/>
      </w:pPr>
      <w:r>
        <w:t>Project 1 – Skive Fjord Nitrogen Load Analysis</w:t>
      </w:r>
    </w:p>
    <w:p w:rsidR="00A32174" w:rsidRDefault="003A1A1B" w:rsidP="003A1A1B">
      <w:pPr>
        <w:spacing w:after="0"/>
      </w:pPr>
      <w:r>
        <w:t>20 October 2014</w:t>
      </w:r>
    </w:p>
    <w:p w:rsidR="00A32174" w:rsidRDefault="00A32174" w:rsidP="00A32174">
      <w:pPr>
        <w:pStyle w:val="ListParagraph"/>
        <w:numPr>
          <w:ilvl w:val="0"/>
          <w:numId w:val="1"/>
        </w:numPr>
      </w:pPr>
      <w:r>
        <w:t>Descriptive Analysis</w:t>
      </w:r>
    </w:p>
    <w:p w:rsidR="00857CEB" w:rsidRDefault="00857CEB" w:rsidP="00A32174">
      <w:pPr>
        <w:ind w:left="360"/>
      </w:pPr>
      <w:r>
        <w:rPr>
          <w:noProof/>
        </w:rPr>
        <mc:AlternateContent>
          <mc:Choice Requires="wps">
            <w:drawing>
              <wp:anchor distT="0" distB="0" distL="114300" distR="114300" simplePos="0" relativeHeight="251659264" behindDoc="0" locked="0" layoutInCell="1" allowOverlap="1" wp14:anchorId="44E9F29D" wp14:editId="5E0D46D4">
                <wp:simplePos x="0" y="0"/>
                <wp:positionH relativeFrom="column">
                  <wp:posOffset>3364230</wp:posOffset>
                </wp:positionH>
                <wp:positionV relativeFrom="paragraph">
                  <wp:posOffset>523875</wp:posOffset>
                </wp:positionV>
                <wp:extent cx="2374265" cy="1403985"/>
                <wp:effectExtent l="0" t="0" r="2286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A32174" w:rsidRDefault="00283A4F" w:rsidP="00776B85">
                            <w:pPr>
                              <w:jc w:val="both"/>
                            </w:pPr>
                            <w:r>
                              <w:t xml:space="preserve">a) The </w:t>
                            </w:r>
                            <w:r w:rsidR="00A32174">
                              <w:t>density of the nitrogen loads is shown to the left using a histogra</w:t>
                            </w:r>
                            <w:r w:rsidR="00857CEB">
                              <w:t>m. We can see that while the plot is somewhat symmetrical, the</w:t>
                            </w:r>
                            <w:r w:rsidR="00A32174">
                              <w:t xml:space="preserve"> density</w:t>
                            </w:r>
                            <w:r w:rsidR="00857CEB">
                              <w:t xml:space="preserve"> skews to the left, indicat</w:t>
                            </w:r>
                            <w:r w:rsidR="00CC495C">
                              <w:t>ing that the density is positive</w:t>
                            </w:r>
                            <w:r w:rsidR="00857CEB">
                              <w:t>. The frequenc</w:t>
                            </w:r>
                            <w:r w:rsidR="00CC495C">
                              <w:t xml:space="preserve">y of loads (mode) below the </w:t>
                            </w:r>
                            <w:r w:rsidR="00BB15CD">
                              <w:t>mean</w:t>
                            </w:r>
                            <w:r w:rsidR="00CC495C">
                              <w:t xml:space="preserve"> </w:t>
                            </w:r>
                            <w:r w:rsidR="00BB15CD">
                              <w:t>(</w:t>
                            </w:r>
                            <w:r w:rsidR="00CC495C">
                              <w:t>1361.9</w:t>
                            </w:r>
                            <w:proofErr w:type="gramStart"/>
                            <w:r w:rsidR="00BB15CD">
                              <w:t>)</w:t>
                            </w:r>
                            <w:r w:rsidR="00CC495C">
                              <w:t>,</w:t>
                            </w:r>
                            <w:proofErr w:type="gramEnd"/>
                            <w:r w:rsidR="00857CEB">
                              <w:t xml:space="preserve"> is greater than the fre</w:t>
                            </w:r>
                            <w:r w:rsidR="00BB15CD">
                              <w:t>quency of loads above the mean</w:t>
                            </w:r>
                            <w:r w:rsidR="00857CEB">
                              <w:t>.  This can be also illustrated with the default density plot function in R of a data set (below).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9pt;margin-top:41.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" strokecolor="white [3212]">
                <v:textbox style="mso-fit-shape-to-text:t">
                  <w:txbxContent>
                    <w:p w:rsidR="00A32174" w:rsidRDefault="00283A4F" w:rsidP="00776B85">
                      <w:pPr>
                        <w:jc w:val="both"/>
                      </w:pPr>
                      <w:r>
                        <w:t xml:space="preserve">a) The </w:t>
                      </w:r>
                      <w:r w:rsidR="00A32174">
                        <w:t>density of the nitrogen loads is shown to the left using a histogra</w:t>
                      </w:r>
                      <w:r w:rsidR="00857CEB">
                        <w:t>m. We can see that while the plot is somewhat symmetrical, the</w:t>
                      </w:r>
                      <w:r w:rsidR="00A32174">
                        <w:t xml:space="preserve"> density</w:t>
                      </w:r>
                      <w:r w:rsidR="00857CEB">
                        <w:t xml:space="preserve"> skews to the left, indicat</w:t>
                      </w:r>
                      <w:r w:rsidR="00CC495C">
                        <w:t>ing that the density is positive</w:t>
                      </w:r>
                      <w:r w:rsidR="00857CEB">
                        <w:t>. The frequenc</w:t>
                      </w:r>
                      <w:r w:rsidR="00CC495C">
                        <w:t xml:space="preserve">y of loads (mode) below the </w:t>
                      </w:r>
                      <w:r w:rsidR="00BB15CD">
                        <w:t>mean</w:t>
                      </w:r>
                      <w:r w:rsidR="00CC495C">
                        <w:t xml:space="preserve"> </w:t>
                      </w:r>
                      <w:r w:rsidR="00BB15CD">
                        <w:t>(</w:t>
                      </w:r>
                      <w:r w:rsidR="00CC495C">
                        <w:t>1361.9</w:t>
                      </w:r>
                      <w:proofErr w:type="gramStart"/>
                      <w:r w:rsidR="00BB15CD">
                        <w:t>)</w:t>
                      </w:r>
                      <w:r w:rsidR="00CC495C">
                        <w:t>,</w:t>
                      </w:r>
                      <w:proofErr w:type="gramEnd"/>
                      <w:r w:rsidR="00857CEB">
                        <w:t xml:space="preserve"> is greater than the fre</w:t>
                      </w:r>
                      <w:r w:rsidR="00BB15CD">
                        <w:t>quency of loads above the mean</w:t>
                      </w:r>
                      <w:r w:rsidR="00857CEB">
                        <w:t>.  This can be also illustrated with the default density plot function in R of a data set (below).</w:t>
                      </w:r>
                    </w:p>
                  </w:txbxContent>
                </v:textbox>
              </v:shape>
            </w:pict>
          </mc:Fallback>
        </mc:AlternateContent>
      </w:r>
      <w:r>
        <w:rPr>
          <w:noProof/>
        </w:rPr>
        <w:drawing>
          <wp:anchor distT="0" distB="0" distL="114300" distR="114300" simplePos="0" relativeHeight="251660288" behindDoc="0" locked="0" layoutInCell="1" allowOverlap="1" wp14:anchorId="146245B9" wp14:editId="19198853">
            <wp:simplePos x="0" y="0"/>
            <wp:positionH relativeFrom="column">
              <wp:posOffset>-9525</wp:posOffset>
            </wp:positionH>
            <wp:positionV relativeFrom="paragraph">
              <wp:posOffset>3994785</wp:posOffset>
            </wp:positionV>
            <wp:extent cx="3181350" cy="3028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 of NLoad.jpeg"/>
                    <pic:cNvPicPr/>
                  </pic:nvPicPr>
                  <pic:blipFill>
                    <a:blip r:embed="rId8">
                      <a:extLst>
                        <a:ext uri="{28A0092B-C50C-407E-A947-70E740481C1C}">
                          <a14:useLocalDpi xmlns:a14="http://schemas.microsoft.com/office/drawing/2010/main" val="0"/>
                        </a:ext>
                      </a:extLst>
                    </a:blip>
                    <a:stretch>
                      <a:fillRect/>
                    </a:stretch>
                  </pic:blipFill>
                  <pic:spPr>
                    <a:xfrm>
                      <a:off x="0" y="0"/>
                      <a:ext cx="3181350" cy="3028950"/>
                    </a:xfrm>
                    <a:prstGeom prst="rect">
                      <a:avLst/>
                    </a:prstGeom>
                  </pic:spPr>
                </pic:pic>
              </a:graphicData>
            </a:graphic>
            <wp14:sizeRelH relativeFrom="page">
              <wp14:pctWidth>0</wp14:pctWidth>
            </wp14:sizeRelH>
            <wp14:sizeRelV relativeFrom="page">
              <wp14:pctHeight>0</wp14:pctHeight>
            </wp14:sizeRelV>
          </wp:anchor>
        </w:drawing>
      </w:r>
      <w:r w:rsidR="00A32174">
        <w:rPr>
          <w:noProof/>
        </w:rPr>
        <w:drawing>
          <wp:inline distT="0" distB="0" distL="0" distR="0" wp14:anchorId="1375C707" wp14:editId="286121A6">
            <wp:extent cx="2512760" cy="4171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of D$NLoad.jpeg"/>
                    <pic:cNvPicPr/>
                  </pic:nvPicPr>
                  <pic:blipFill>
                    <a:blip r:embed="rId9">
                      <a:extLst>
                        <a:ext uri="{28A0092B-C50C-407E-A947-70E740481C1C}">
                          <a14:useLocalDpi xmlns:a14="http://schemas.microsoft.com/office/drawing/2010/main" val="0"/>
                        </a:ext>
                      </a:extLst>
                    </a:blip>
                    <a:stretch>
                      <a:fillRect/>
                    </a:stretch>
                  </pic:blipFill>
                  <pic:spPr>
                    <a:xfrm>
                      <a:off x="0" y="0"/>
                      <a:ext cx="2517006" cy="4178999"/>
                    </a:xfrm>
                    <a:prstGeom prst="rect">
                      <a:avLst/>
                    </a:prstGeom>
                  </pic:spPr>
                </pic:pic>
              </a:graphicData>
            </a:graphic>
          </wp:inline>
        </w:drawing>
      </w:r>
    </w:p>
    <w:p w:rsidR="00776B85" w:rsidRDefault="00776B85">
      <w:r>
        <w:rPr>
          <w:noProof/>
        </w:rPr>
        <mc:AlternateContent>
          <mc:Choice Requires="wps">
            <w:drawing>
              <wp:anchor distT="0" distB="0" distL="114300" distR="114300" simplePos="0" relativeHeight="251662336" behindDoc="0" locked="0" layoutInCell="1" allowOverlap="1" wp14:anchorId="59012967" wp14:editId="1C9E359A">
                <wp:simplePos x="0" y="0"/>
                <wp:positionH relativeFrom="column">
                  <wp:posOffset>3363595</wp:posOffset>
                </wp:positionH>
                <wp:positionV relativeFrom="paragraph">
                  <wp:posOffset>723900</wp:posOffset>
                </wp:positionV>
                <wp:extent cx="2374265" cy="1403985"/>
                <wp:effectExtent l="0" t="0" r="22860" b="279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857CEB" w:rsidRDefault="00857CEB" w:rsidP="00776B85">
                            <w:pPr>
                              <w:jc w:val="both"/>
                            </w:pPr>
                            <w:r>
                              <w:t>The density of n</w:t>
                            </w:r>
                            <w:r w:rsidR="00CC495C">
                              <w:t>itrogen loads shows the positive</w:t>
                            </w:r>
                            <w:r>
                              <w:t xml:space="preserve"> skew of the data. </w:t>
                            </w:r>
                            <w:r w:rsidR="00CC495C">
                              <w:t>The peak is to the left of the mean.</w:t>
                            </w:r>
                            <w:r w:rsidR="003A1A1B">
                              <w:t xml:space="preserve"> The data is not quite normally distributed, but shows a correlation with the normal distribution.</w:t>
                            </w:r>
                            <w:r w:rsidR="00BB15CD">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64.85pt;margin-top:57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" strokecolor="white [3212]">
                <v:textbox style="mso-fit-shape-to-text:t">
                  <w:txbxContent>
                    <w:p w:rsidR="00857CEB" w:rsidRDefault="00857CEB" w:rsidP="00776B85">
                      <w:pPr>
                        <w:jc w:val="both"/>
                      </w:pPr>
                      <w:r>
                        <w:t>The density of n</w:t>
                      </w:r>
                      <w:r w:rsidR="00CC495C">
                        <w:t>itrogen loads shows the positive</w:t>
                      </w:r>
                      <w:r>
                        <w:t xml:space="preserve"> skew of the data. </w:t>
                      </w:r>
                      <w:r w:rsidR="00CC495C">
                        <w:t>The peak is to the left of the mean.</w:t>
                      </w:r>
                      <w:r w:rsidR="003A1A1B">
                        <w:t xml:space="preserve"> The data is not quite normally distributed, but shows a correlation with the normal distribution.</w:t>
                      </w:r>
                      <w:r w:rsidR="00BB15CD">
                        <w:t xml:space="preserve"> </w:t>
                      </w:r>
                    </w:p>
                  </w:txbxContent>
                </v:textbox>
              </v:shape>
            </w:pict>
          </mc:Fallback>
        </mc:AlternateContent>
      </w:r>
      <w:r w:rsidR="00857CEB">
        <w:br w:type="page"/>
      </w:r>
    </w:p>
    <w:p w:rsidR="00776B85" w:rsidRDefault="00776B85" w:rsidP="00A32174">
      <w:pPr>
        <w:ind w:left="360"/>
      </w:pPr>
      <w:r>
        <w:rPr>
          <w:noProof/>
        </w:rPr>
        <w:lastRenderedPageBreak/>
        <w:drawing>
          <wp:anchor distT="0" distB="0" distL="114300" distR="114300" simplePos="0" relativeHeight="251664384" behindDoc="0" locked="0" layoutInCell="1" allowOverlap="1" wp14:anchorId="6A0D218E" wp14:editId="14CD453E">
            <wp:simplePos x="0" y="0"/>
            <wp:positionH relativeFrom="column">
              <wp:posOffset>-228600</wp:posOffset>
            </wp:positionH>
            <wp:positionV relativeFrom="paragraph">
              <wp:posOffset>-266700</wp:posOffset>
            </wp:positionV>
            <wp:extent cx="3095625" cy="39814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vs Year.jpeg"/>
                    <pic:cNvPicPr/>
                  </pic:nvPicPr>
                  <pic:blipFill>
                    <a:blip r:embed="rId10">
                      <a:extLst>
                        <a:ext uri="{28A0092B-C50C-407E-A947-70E740481C1C}">
                          <a14:useLocalDpi xmlns:a14="http://schemas.microsoft.com/office/drawing/2010/main" val="0"/>
                        </a:ext>
                      </a:extLst>
                    </a:blip>
                    <a:stretch>
                      <a:fillRect/>
                    </a:stretch>
                  </pic:blipFill>
                  <pic:spPr>
                    <a:xfrm>
                      <a:off x="0" y="0"/>
                      <a:ext cx="3095625" cy="3981450"/>
                    </a:xfrm>
                    <a:prstGeom prst="rect">
                      <a:avLst/>
                    </a:prstGeom>
                  </pic:spPr>
                </pic:pic>
              </a:graphicData>
            </a:graphic>
            <wp14:sizeRelH relativeFrom="page">
              <wp14:pctWidth>0</wp14:pctWidth>
            </wp14:sizeRelH>
            <wp14:sizeRelV relativeFrom="page">
              <wp14:pctHeight>0</wp14:pctHeight>
            </wp14:sizeRelV>
          </wp:anchor>
        </w:drawing>
      </w:r>
    </w:p>
    <w:p w:rsidR="000166F6" w:rsidRDefault="00776B85" w:rsidP="000166F6">
      <w:r>
        <w:rPr>
          <w:noProof/>
        </w:rPr>
        <mc:AlternateContent>
          <mc:Choice Requires="wps">
            <w:drawing>
              <wp:anchor distT="0" distB="0" distL="114300" distR="114300" simplePos="0" relativeHeight="251668480" behindDoc="0" locked="0" layoutInCell="1" allowOverlap="1" wp14:anchorId="1723BFBC" wp14:editId="517F5A60">
                <wp:simplePos x="0" y="0"/>
                <wp:positionH relativeFrom="column">
                  <wp:posOffset>3278505</wp:posOffset>
                </wp:positionH>
                <wp:positionV relativeFrom="paragraph">
                  <wp:posOffset>3896360</wp:posOffset>
                </wp:positionV>
                <wp:extent cx="2374265" cy="1403985"/>
                <wp:effectExtent l="0" t="0" r="2286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76B85" w:rsidRDefault="00776B85" w:rsidP="00776B85">
                            <w:pPr>
                              <w:jc w:val="both"/>
                            </w:pPr>
                            <w:r>
                              <w:t>In the time series segmented by VMP period, the results must be looked at carefully. The average of each period appears to be less than the period prior. Each period is also shorter than the period prior, if VMP0 is taken to extend backward in time off the graph, before VMP was implemented. The nitrogen loads also never increase after a new VMP period is started. After a new VMP is adopted, nitrogen loads either remain static or decrease, which suggests emitters are following the rules of each new VMP. After the 3</w:t>
                            </w:r>
                            <w:r w:rsidRPr="00776B85">
                              <w:rPr>
                                <w:vertAlign w:val="superscript"/>
                              </w:rPr>
                              <w:t>rd</w:t>
                            </w:r>
                            <w:r>
                              <w:t xml:space="preserve"> and final VMP, nitrogen loads remain quite low. This is</w:t>
                            </w:r>
                            <w:r w:rsidR="00BB15CD">
                              <w:t xml:space="preserve"> some qualitative</w:t>
                            </w:r>
                            <w:r>
                              <w:t xml:space="preserve"> evidence of the success of the VMP programs.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8.15pt;margin-top:306.8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" strokecolor="white [3212]">
                <v:textbox style="mso-fit-shape-to-text:t">
                  <w:txbxContent>
                    <w:p w:rsidR="00776B85" w:rsidRDefault="00776B85" w:rsidP="00776B85">
                      <w:pPr>
                        <w:jc w:val="both"/>
                      </w:pPr>
                      <w:r>
                        <w:t>In the time series segmented by VMP period, the results must be looked at carefully. The average of each period appears to be less than the period prior. Each period is also shorter than the period prior, if VMP0 is taken to extend backward in time off the graph, before VMP was implemented. The nitrogen loads also never increase after a new VMP period is started. After a new VMP is adopted, nitrogen loads either remain static or decrease, which suggests emitters are following the rules of each new VMP. After the 3</w:t>
                      </w:r>
                      <w:r w:rsidRPr="00776B85">
                        <w:rPr>
                          <w:vertAlign w:val="superscript"/>
                        </w:rPr>
                        <w:t>rd</w:t>
                      </w:r>
                      <w:r>
                        <w:t xml:space="preserve"> and final VMP, nitrogen loads remain quite low. This is</w:t>
                      </w:r>
                      <w:r w:rsidR="00BB15CD">
                        <w:t xml:space="preserve"> some qualitative</w:t>
                      </w:r>
                      <w:r>
                        <w:t xml:space="preserve"> evidence of the success of the VMP programs.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68D67D2" wp14:editId="19D4AF45">
                <wp:simplePos x="0" y="0"/>
                <wp:positionH relativeFrom="column">
                  <wp:posOffset>3221355</wp:posOffset>
                </wp:positionH>
                <wp:positionV relativeFrom="paragraph">
                  <wp:posOffset>114935</wp:posOffset>
                </wp:positionV>
                <wp:extent cx="2374265" cy="1403985"/>
                <wp:effectExtent l="0" t="0" r="2286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857CEB" w:rsidRDefault="00857CEB" w:rsidP="00776B85">
                            <w:pPr>
                              <w:jc w:val="both"/>
                            </w:pPr>
                            <w:r>
                              <w:t xml:space="preserve">b) Shown are the time series plots for the nitrogen loads </w:t>
                            </w:r>
                            <w:r w:rsidR="00776B85">
                              <w:t>vs. the year they were measured. First</w:t>
                            </w:r>
                            <w:r w:rsidR="00CC495C">
                              <w:t>,</w:t>
                            </w:r>
                            <w:r w:rsidR="00776B85">
                              <w:t xml:space="preserve"> the basic time series (left)</w:t>
                            </w:r>
                            <w:r w:rsidR="00CC495C">
                              <w:t>,</w:t>
                            </w:r>
                            <w:r w:rsidR="00776B85">
                              <w:t xml:space="preserve"> and </w:t>
                            </w:r>
                            <w:r w:rsidR="00CC495C">
                              <w:t xml:space="preserve">second, </w:t>
                            </w:r>
                            <w:r w:rsidR="00776B85">
                              <w:t>the time series segmented by VMP period (bottom left).  It is clear that nitr</w:t>
                            </w:r>
                            <w:r w:rsidR="00CC495C">
                              <w:t>ogen loads into the Skive fjord</w:t>
                            </w:r>
                            <w:r w:rsidR="00776B85">
                              <w:t xml:space="preserve"> has been steadily decreasing over the 25 year time period. Though 1985 saw a relatively low load for that era (average greater than 1500), the remaining series decreases rather predictably.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53.65pt;margin-top:9.0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" strokecolor="white [3212]">
                <v:textbox style="mso-fit-shape-to-text:t">
                  <w:txbxContent>
                    <w:p w:rsidR="00857CEB" w:rsidRDefault="00857CEB" w:rsidP="00776B85">
                      <w:pPr>
                        <w:jc w:val="both"/>
                      </w:pPr>
                      <w:r>
                        <w:t xml:space="preserve">b) Shown are the time series plots for the nitrogen loads </w:t>
                      </w:r>
                      <w:r w:rsidR="00776B85">
                        <w:t>vs. the year they were measured. First</w:t>
                      </w:r>
                      <w:r w:rsidR="00CC495C">
                        <w:t>,</w:t>
                      </w:r>
                      <w:r w:rsidR="00776B85">
                        <w:t xml:space="preserve"> the basic time series (left)</w:t>
                      </w:r>
                      <w:r w:rsidR="00CC495C">
                        <w:t>,</w:t>
                      </w:r>
                      <w:r w:rsidR="00776B85">
                        <w:t xml:space="preserve"> and </w:t>
                      </w:r>
                      <w:r w:rsidR="00CC495C">
                        <w:t xml:space="preserve">second, </w:t>
                      </w:r>
                      <w:r w:rsidR="00776B85">
                        <w:t>the time series segmented by VMP period (bottom left).  It is clear that nitr</w:t>
                      </w:r>
                      <w:r w:rsidR="00CC495C">
                        <w:t>ogen loads into the Skive fjord</w:t>
                      </w:r>
                      <w:r w:rsidR="00776B85">
                        <w:t xml:space="preserve"> has been steadily decreasing over the 25 year time period. Though 1985 saw a relatively low load for that era (average greater than 1500), the remaining series decreases rather predictably. </w:t>
                      </w:r>
                    </w:p>
                  </w:txbxContent>
                </v:textbox>
              </v:shape>
            </w:pict>
          </mc:Fallback>
        </mc:AlternateContent>
      </w:r>
      <w:r>
        <w:rPr>
          <w:noProof/>
        </w:rPr>
        <w:drawing>
          <wp:anchor distT="0" distB="0" distL="114300" distR="114300" simplePos="0" relativeHeight="251663360" behindDoc="0" locked="0" layoutInCell="1" allowOverlap="1" wp14:anchorId="0F54A497" wp14:editId="3D3AE303">
            <wp:simplePos x="0" y="0"/>
            <wp:positionH relativeFrom="column">
              <wp:posOffset>-229235</wp:posOffset>
            </wp:positionH>
            <wp:positionV relativeFrom="paragraph">
              <wp:posOffset>3562985</wp:posOffset>
            </wp:positionV>
            <wp:extent cx="3095625" cy="3980815"/>
            <wp:effectExtent l="0" t="0" r="952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vs Year (color).jpeg"/>
                    <pic:cNvPicPr/>
                  </pic:nvPicPr>
                  <pic:blipFill>
                    <a:blip r:embed="rId11">
                      <a:extLst>
                        <a:ext uri="{28A0092B-C50C-407E-A947-70E740481C1C}">
                          <a14:useLocalDpi xmlns:a14="http://schemas.microsoft.com/office/drawing/2010/main" val="0"/>
                        </a:ext>
                      </a:extLst>
                    </a:blip>
                    <a:stretch>
                      <a:fillRect/>
                    </a:stretch>
                  </pic:blipFill>
                  <pic:spPr>
                    <a:xfrm>
                      <a:off x="0" y="0"/>
                      <a:ext cx="3095625" cy="3980815"/>
                    </a:xfrm>
                    <a:prstGeom prst="rect">
                      <a:avLst/>
                    </a:prstGeom>
                  </pic:spPr>
                </pic:pic>
              </a:graphicData>
            </a:graphic>
            <wp14:sizeRelH relativeFrom="page">
              <wp14:pctWidth>0</wp14:pctWidth>
            </wp14:sizeRelH>
            <wp14:sizeRelV relativeFrom="page">
              <wp14:pctHeight>0</wp14:pctHeight>
            </wp14:sizeRelV>
          </wp:anchor>
        </w:drawing>
      </w:r>
      <w:r>
        <w:br w:type="page"/>
      </w:r>
    </w:p>
    <w:p w:rsidR="000166F6" w:rsidRDefault="000166F6">
      <w:r>
        <w:rPr>
          <w:noProof/>
        </w:rPr>
        <w:lastRenderedPageBreak/>
        <mc:AlternateContent>
          <mc:Choice Requires="wps">
            <w:drawing>
              <wp:anchor distT="0" distB="0" distL="114300" distR="114300" simplePos="0" relativeHeight="251672576" behindDoc="0" locked="0" layoutInCell="1" allowOverlap="1" wp14:anchorId="32E82ADF" wp14:editId="0FC18295">
                <wp:simplePos x="0" y="0"/>
                <wp:positionH relativeFrom="column">
                  <wp:posOffset>3429000</wp:posOffset>
                </wp:positionH>
                <wp:positionV relativeFrom="paragraph">
                  <wp:posOffset>3967480</wp:posOffset>
                </wp:positionV>
                <wp:extent cx="2374265" cy="1403985"/>
                <wp:effectExtent l="0" t="0" r="22860"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0166F6" w:rsidRDefault="000166F6" w:rsidP="00D176F1">
                            <w:pPr>
                              <w:jc w:val="both"/>
                            </w:pPr>
                            <w:r>
                              <w:t xml:space="preserve">c) </w:t>
                            </w:r>
                            <w:r w:rsidR="00187739">
                              <w:t xml:space="preserve">The empirical density of VMP0 </w:t>
                            </w:r>
                            <w:r w:rsidR="00BB15CD">
                              <w:t>is skewed to the right (negative</w:t>
                            </w:r>
                            <w:r w:rsidR="00187739">
                              <w:t>). The empirical density of VMP1 is more evenly distributed, but is st</w:t>
                            </w:r>
                            <w:r w:rsidR="00BB15CD">
                              <w:t>ill skewed to the left (positive</w:t>
                            </w:r>
                            <w:r w:rsidR="00187739">
                              <w:t>). The empirical density of VMP2 is skewed con</w:t>
                            </w:r>
                            <w:r w:rsidR="00BB15CD">
                              <w:t>siderable to the right (negative</w:t>
                            </w:r>
                            <w:r w:rsidR="00187739">
                              <w:t xml:space="preserve">) and the empirical density of VMP3 is not evenly distributed, skewed to the </w:t>
                            </w:r>
                            <w:r w:rsidR="00BB15CD">
                              <w:t>right (negative</w:t>
                            </w:r>
                            <w:r w:rsidR="00187739">
                              <w:t xml:space="preserve">). </w:t>
                            </w:r>
                            <w:proofErr w:type="gramStart"/>
                            <w:r w:rsidR="00187739">
                              <w:t>Both the mean and median decrease for all periods</w:t>
                            </w:r>
                            <w:r w:rsidR="00BB15CD">
                              <w:t>,</w:t>
                            </w:r>
                            <w:r w:rsidR="00187739">
                              <w:t xml:space="preserve"> but the spread, or variances, decrease with time.</w:t>
                            </w:r>
                            <w:proofErr w:type="gramEnd"/>
                            <w:r w:rsidR="00187739">
                              <w:t xml:space="preserve"> The least varied periods appear to be VMP2 and VMP3, with the most varied periods as VMP0 and VMP1.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70pt;margin-top:312.4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" strokecolor="white [3212]">
                <v:textbox style="mso-fit-shape-to-text:t">
                  <w:txbxContent>
                    <w:p w:rsidR="000166F6" w:rsidRDefault="000166F6" w:rsidP="00D176F1">
                      <w:pPr>
                        <w:jc w:val="both"/>
                      </w:pPr>
                      <w:r>
                        <w:t xml:space="preserve">c) </w:t>
                      </w:r>
                      <w:r w:rsidR="00187739">
                        <w:t xml:space="preserve">The empirical density of VMP0 </w:t>
                      </w:r>
                      <w:r w:rsidR="00BB15CD">
                        <w:t>is skewed to the right (negative</w:t>
                      </w:r>
                      <w:r w:rsidR="00187739">
                        <w:t>). The empirical density of VMP1 is more evenly distributed, but is st</w:t>
                      </w:r>
                      <w:r w:rsidR="00BB15CD">
                        <w:t>ill skewed to the left (positive</w:t>
                      </w:r>
                      <w:r w:rsidR="00187739">
                        <w:t>). The empirical density of VMP2 is skewed con</w:t>
                      </w:r>
                      <w:r w:rsidR="00BB15CD">
                        <w:t>siderable to the right (negative</w:t>
                      </w:r>
                      <w:r w:rsidR="00187739">
                        <w:t xml:space="preserve">) and the empirical density of VMP3 is not evenly distributed, skewed to the </w:t>
                      </w:r>
                      <w:r w:rsidR="00BB15CD">
                        <w:t>right (negative</w:t>
                      </w:r>
                      <w:r w:rsidR="00187739">
                        <w:t xml:space="preserve">). </w:t>
                      </w:r>
                      <w:proofErr w:type="gramStart"/>
                      <w:r w:rsidR="00187739">
                        <w:t>Both the mean and median decrease for all periods</w:t>
                      </w:r>
                      <w:r w:rsidR="00BB15CD">
                        <w:t>,</w:t>
                      </w:r>
                      <w:r w:rsidR="00187739">
                        <w:t xml:space="preserve"> but the spread, or variances, decrease with time.</w:t>
                      </w:r>
                      <w:proofErr w:type="gramEnd"/>
                      <w:r w:rsidR="00187739">
                        <w:t xml:space="preserve"> The least varied periods appear to be VMP2 and VMP3, with the most varied periods as VMP0 and VMP1. </w:t>
                      </w:r>
                    </w:p>
                  </w:txbxContent>
                </v:textbox>
              </v:shape>
            </w:pict>
          </mc:Fallback>
        </mc:AlternateContent>
      </w:r>
      <w:r>
        <w:rPr>
          <w:noProof/>
        </w:rPr>
        <w:drawing>
          <wp:anchor distT="0" distB="0" distL="114300" distR="114300" simplePos="0" relativeHeight="251670528" behindDoc="1" locked="0" layoutInCell="1" allowOverlap="1" wp14:anchorId="57BBE4B8" wp14:editId="5E42421B">
            <wp:simplePos x="0" y="0"/>
            <wp:positionH relativeFrom="column">
              <wp:posOffset>228600</wp:posOffset>
            </wp:positionH>
            <wp:positionV relativeFrom="paragraph">
              <wp:posOffset>3390900</wp:posOffset>
            </wp:positionV>
            <wp:extent cx="2990850" cy="4324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Boxplot.jpeg"/>
                    <pic:cNvPicPr/>
                  </pic:nvPicPr>
                  <pic:blipFill>
                    <a:blip r:embed="rId12">
                      <a:extLst>
                        <a:ext uri="{28A0092B-C50C-407E-A947-70E740481C1C}">
                          <a14:useLocalDpi xmlns:a14="http://schemas.microsoft.com/office/drawing/2010/main" val="0"/>
                        </a:ext>
                      </a:extLst>
                    </a:blip>
                    <a:stretch>
                      <a:fillRect/>
                    </a:stretch>
                  </pic:blipFill>
                  <pic:spPr>
                    <a:xfrm>
                      <a:off x="0" y="0"/>
                      <a:ext cx="2990850" cy="4324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EEEE8CA" wp14:editId="1E656533">
            <wp:simplePos x="0" y="0"/>
            <wp:positionH relativeFrom="column">
              <wp:posOffset>247650</wp:posOffset>
            </wp:positionH>
            <wp:positionV relativeFrom="paragraph">
              <wp:posOffset>-276225</wp:posOffset>
            </wp:positionV>
            <wp:extent cx="5543550" cy="3714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P histograms.jpeg"/>
                    <pic:cNvPicPr/>
                  </pic:nvPicPr>
                  <pic:blipFill>
                    <a:blip r:embed="rId13">
                      <a:extLst>
                        <a:ext uri="{28A0092B-C50C-407E-A947-70E740481C1C}">
                          <a14:useLocalDpi xmlns:a14="http://schemas.microsoft.com/office/drawing/2010/main" val="0"/>
                        </a:ext>
                      </a:extLst>
                    </a:blip>
                    <a:stretch>
                      <a:fillRect/>
                    </a:stretch>
                  </pic:blipFill>
                  <pic:spPr>
                    <a:xfrm>
                      <a:off x="0" y="0"/>
                      <a:ext cx="5543550" cy="3714750"/>
                    </a:xfrm>
                    <a:prstGeom prst="rect">
                      <a:avLst/>
                    </a:prstGeom>
                  </pic:spPr>
                </pic:pic>
              </a:graphicData>
            </a:graphic>
            <wp14:sizeRelH relativeFrom="page">
              <wp14:pctWidth>0</wp14:pctWidth>
            </wp14:sizeRelH>
            <wp14:sizeRelV relativeFrom="page">
              <wp14:pctHeight>0</wp14:pctHeight>
            </wp14:sizeRelV>
          </wp:anchor>
        </w:drawing>
      </w:r>
      <w:r>
        <w:br w:type="page"/>
      </w:r>
    </w:p>
    <w:tbl>
      <w:tblPr>
        <w:tblStyle w:val="TableGrid"/>
        <w:tblpPr w:leftFromText="180" w:rightFromText="180" w:vertAnchor="page" w:horzAnchor="margin" w:tblpXSpec="center" w:tblpY="1821"/>
        <w:tblW w:w="9305" w:type="dxa"/>
        <w:tblLook w:val="04A0" w:firstRow="1" w:lastRow="0" w:firstColumn="1" w:lastColumn="0" w:noHBand="0" w:noVBand="1"/>
      </w:tblPr>
      <w:tblGrid>
        <w:gridCol w:w="1383"/>
        <w:gridCol w:w="1118"/>
        <w:gridCol w:w="1027"/>
        <w:gridCol w:w="1237"/>
        <w:gridCol w:w="1259"/>
        <w:gridCol w:w="1111"/>
        <w:gridCol w:w="1059"/>
        <w:gridCol w:w="1111"/>
      </w:tblGrid>
      <w:tr w:rsidR="00E574F6" w:rsidTr="00E574F6">
        <w:trPr>
          <w:trHeight w:val="999"/>
        </w:trPr>
        <w:tc>
          <w:tcPr>
            <w:tcW w:w="0" w:type="auto"/>
          </w:tcPr>
          <w:p w:rsidR="00E574F6" w:rsidRDefault="00E574F6" w:rsidP="00E574F6">
            <w:r>
              <w:lastRenderedPageBreak/>
              <w:t>d)</w:t>
            </w:r>
          </w:p>
        </w:tc>
        <w:tc>
          <w:tcPr>
            <w:tcW w:w="0" w:type="auto"/>
          </w:tcPr>
          <w:p w:rsidR="00E574F6" w:rsidRDefault="00E574F6" w:rsidP="00E574F6">
            <w:r>
              <w:t>Number</w:t>
            </w:r>
          </w:p>
          <w:p w:rsidR="00E574F6" w:rsidRDefault="00E574F6" w:rsidP="00E574F6">
            <w:r>
              <w:t>Of obs.</w:t>
            </w:r>
          </w:p>
          <w:p w:rsidR="00E574F6" w:rsidRPr="000166F6" w:rsidRDefault="00E574F6" w:rsidP="00E574F6">
            <w:r>
              <w:rPr>
                <w:i/>
              </w:rPr>
              <w:t>N</w:t>
            </w:r>
          </w:p>
        </w:tc>
        <w:tc>
          <w:tcPr>
            <w:tcW w:w="0" w:type="auto"/>
          </w:tcPr>
          <w:p w:rsidR="00E574F6" w:rsidRDefault="00E574F6" w:rsidP="00E574F6">
            <w:r>
              <w:t xml:space="preserve">Sample </w:t>
            </w:r>
          </w:p>
          <w:p w:rsidR="00E574F6" w:rsidRDefault="00E574F6" w:rsidP="00E574F6">
            <w:r>
              <w:t>Mean</w:t>
            </w:r>
          </w:p>
          <w:p w:rsidR="00E574F6" w:rsidRPr="000166F6" w:rsidRDefault="00E574F6" w:rsidP="00E574F6">
            <w:pPr>
              <w:rPr>
                <w:i/>
              </w:rPr>
            </w:pPr>
            <w:r>
              <w:rPr>
                <w:i/>
              </w:rPr>
              <w:t>(x)</w:t>
            </w:r>
          </w:p>
        </w:tc>
        <w:tc>
          <w:tcPr>
            <w:tcW w:w="0" w:type="auto"/>
          </w:tcPr>
          <w:p w:rsidR="00E574F6" w:rsidRDefault="00E574F6" w:rsidP="00E574F6">
            <w:r>
              <w:t>Sample</w:t>
            </w:r>
          </w:p>
          <w:p w:rsidR="00E574F6" w:rsidRDefault="00E574F6" w:rsidP="00E574F6">
            <w:r>
              <w:t>Variance</w:t>
            </w:r>
          </w:p>
          <w:p w:rsidR="00E574F6" w:rsidRPr="00FB6631" w:rsidRDefault="00E574F6" w:rsidP="00E574F6">
            <w:pPr>
              <w:rPr>
                <w:i/>
              </w:rPr>
            </w:pPr>
            <w:r>
              <w:rPr>
                <w:i/>
              </w:rPr>
              <w:t>(s</w:t>
            </w:r>
            <w:r>
              <w:rPr>
                <w:i/>
                <w:vertAlign w:val="superscript"/>
              </w:rPr>
              <w:t>2</w:t>
            </w:r>
            <w:r>
              <w:rPr>
                <w:i/>
              </w:rPr>
              <w:t>)</w:t>
            </w:r>
          </w:p>
        </w:tc>
        <w:tc>
          <w:tcPr>
            <w:tcW w:w="0" w:type="auto"/>
          </w:tcPr>
          <w:p w:rsidR="00E574F6" w:rsidRDefault="00E574F6" w:rsidP="00E574F6">
            <w:r>
              <w:t>Standard</w:t>
            </w:r>
          </w:p>
          <w:p w:rsidR="00E574F6" w:rsidRDefault="00E574F6" w:rsidP="00E574F6">
            <w:r>
              <w:t>Deviation</w:t>
            </w:r>
          </w:p>
          <w:p w:rsidR="00E574F6" w:rsidRPr="00FB6631" w:rsidRDefault="00E574F6" w:rsidP="00E574F6">
            <w:pPr>
              <w:rPr>
                <w:i/>
              </w:rPr>
            </w:pPr>
            <w:r>
              <w:rPr>
                <w:i/>
              </w:rPr>
              <w:t>(s)</w:t>
            </w:r>
          </w:p>
        </w:tc>
        <w:tc>
          <w:tcPr>
            <w:tcW w:w="0" w:type="auto"/>
          </w:tcPr>
          <w:p w:rsidR="00E574F6" w:rsidRDefault="00E574F6" w:rsidP="00E574F6">
            <w:r>
              <w:t xml:space="preserve">Lower </w:t>
            </w:r>
          </w:p>
          <w:p w:rsidR="00E574F6" w:rsidRDefault="00E574F6" w:rsidP="00E574F6">
            <w:r>
              <w:t>Quartile</w:t>
            </w:r>
          </w:p>
          <w:p w:rsidR="00E574F6" w:rsidRPr="00FB6631" w:rsidRDefault="00E574F6" w:rsidP="00E574F6">
            <w:pPr>
              <w:rPr>
                <w:i/>
              </w:rPr>
            </w:pPr>
            <w:r>
              <w:rPr>
                <w:i/>
              </w:rPr>
              <w:t>(Q</w:t>
            </w:r>
            <w:r>
              <w:rPr>
                <w:i/>
                <w:vertAlign w:val="subscript"/>
              </w:rPr>
              <w:t>1</w:t>
            </w:r>
            <w:r>
              <w:rPr>
                <w:i/>
              </w:rPr>
              <w:t>)</w:t>
            </w:r>
          </w:p>
        </w:tc>
        <w:tc>
          <w:tcPr>
            <w:tcW w:w="0" w:type="auto"/>
          </w:tcPr>
          <w:p w:rsidR="00E574F6" w:rsidRDefault="00E574F6" w:rsidP="00E574F6">
            <w:r>
              <w:t>Median</w:t>
            </w:r>
          </w:p>
          <w:p w:rsidR="00E574F6" w:rsidRDefault="00E574F6" w:rsidP="00E574F6"/>
          <w:p w:rsidR="00E574F6" w:rsidRPr="00FB6631" w:rsidRDefault="00E574F6" w:rsidP="00E574F6">
            <w:pPr>
              <w:rPr>
                <w:i/>
              </w:rPr>
            </w:pPr>
            <w:r>
              <w:rPr>
                <w:i/>
              </w:rPr>
              <w:t>(Q</w:t>
            </w:r>
            <w:r>
              <w:rPr>
                <w:i/>
                <w:vertAlign w:val="subscript"/>
              </w:rPr>
              <w:t>2</w:t>
            </w:r>
            <w:r>
              <w:rPr>
                <w:i/>
              </w:rPr>
              <w:t>)</w:t>
            </w:r>
          </w:p>
        </w:tc>
        <w:tc>
          <w:tcPr>
            <w:tcW w:w="0" w:type="auto"/>
          </w:tcPr>
          <w:p w:rsidR="00E574F6" w:rsidRDefault="00E574F6" w:rsidP="00E574F6">
            <w:r>
              <w:t>Upper</w:t>
            </w:r>
          </w:p>
          <w:p w:rsidR="00E574F6" w:rsidRDefault="00E574F6" w:rsidP="00E574F6">
            <w:r>
              <w:t>Quartile</w:t>
            </w:r>
          </w:p>
          <w:p w:rsidR="00E574F6" w:rsidRPr="00FB6631" w:rsidRDefault="00E574F6" w:rsidP="00E574F6">
            <w:pPr>
              <w:rPr>
                <w:i/>
              </w:rPr>
            </w:pPr>
            <w:r>
              <w:rPr>
                <w:i/>
              </w:rPr>
              <w:t>(Q</w:t>
            </w:r>
            <w:r>
              <w:rPr>
                <w:i/>
                <w:vertAlign w:val="subscript"/>
              </w:rPr>
              <w:t>3</w:t>
            </w:r>
            <w:r>
              <w:rPr>
                <w:i/>
              </w:rPr>
              <w:t>)</w:t>
            </w:r>
          </w:p>
        </w:tc>
      </w:tr>
      <w:tr w:rsidR="00E574F6" w:rsidTr="00E574F6">
        <w:trPr>
          <w:trHeight w:val="649"/>
        </w:trPr>
        <w:tc>
          <w:tcPr>
            <w:tcW w:w="0" w:type="auto"/>
          </w:tcPr>
          <w:p w:rsidR="00E574F6" w:rsidRDefault="00E574F6" w:rsidP="00E574F6">
            <w:r>
              <w:t>VMP0</w:t>
            </w:r>
          </w:p>
          <w:p w:rsidR="00E574F6" w:rsidRDefault="00E574F6" w:rsidP="00E574F6">
            <w:r>
              <w:t>1982-1987</w:t>
            </w:r>
          </w:p>
        </w:tc>
        <w:tc>
          <w:tcPr>
            <w:tcW w:w="0" w:type="auto"/>
          </w:tcPr>
          <w:p w:rsidR="00E574F6" w:rsidRDefault="00E574F6" w:rsidP="00E574F6">
            <w:r>
              <w:t>6</w:t>
            </w:r>
          </w:p>
        </w:tc>
        <w:tc>
          <w:tcPr>
            <w:tcW w:w="0" w:type="auto"/>
          </w:tcPr>
          <w:p w:rsidR="00E574F6" w:rsidRDefault="00E574F6" w:rsidP="00E574F6">
            <w:r>
              <w:t>1625</w:t>
            </w:r>
          </w:p>
        </w:tc>
        <w:tc>
          <w:tcPr>
            <w:tcW w:w="0" w:type="auto"/>
          </w:tcPr>
          <w:p w:rsidR="00E574F6" w:rsidRDefault="00E574F6" w:rsidP="00E574F6">
            <w:r>
              <w:t>105522.2</w:t>
            </w:r>
          </w:p>
        </w:tc>
        <w:tc>
          <w:tcPr>
            <w:tcW w:w="0" w:type="auto"/>
          </w:tcPr>
          <w:p w:rsidR="00E574F6" w:rsidRDefault="00E574F6" w:rsidP="00E574F6">
            <w:r>
              <w:t>324.84</w:t>
            </w:r>
          </w:p>
        </w:tc>
        <w:tc>
          <w:tcPr>
            <w:tcW w:w="0" w:type="auto"/>
          </w:tcPr>
          <w:p w:rsidR="00E574F6" w:rsidRDefault="00E574F6" w:rsidP="00E574F6">
            <w:r>
              <w:t>1633</w:t>
            </w:r>
          </w:p>
        </w:tc>
        <w:tc>
          <w:tcPr>
            <w:tcW w:w="0" w:type="auto"/>
          </w:tcPr>
          <w:p w:rsidR="00E574F6" w:rsidRDefault="00E574F6" w:rsidP="00E574F6">
            <w:r>
              <w:t>1702</w:t>
            </w:r>
          </w:p>
        </w:tc>
        <w:tc>
          <w:tcPr>
            <w:tcW w:w="0" w:type="auto"/>
          </w:tcPr>
          <w:p w:rsidR="00E574F6" w:rsidRDefault="00E574F6" w:rsidP="00E574F6">
            <w:r>
              <w:t>1756</w:t>
            </w:r>
          </w:p>
        </w:tc>
      </w:tr>
      <w:tr w:rsidR="00E574F6" w:rsidTr="00E574F6">
        <w:trPr>
          <w:trHeight w:val="649"/>
        </w:trPr>
        <w:tc>
          <w:tcPr>
            <w:tcW w:w="0" w:type="auto"/>
          </w:tcPr>
          <w:p w:rsidR="00E574F6" w:rsidRDefault="00E574F6" w:rsidP="00E574F6">
            <w:r>
              <w:t>VMP1</w:t>
            </w:r>
          </w:p>
          <w:p w:rsidR="00E574F6" w:rsidRDefault="00E574F6" w:rsidP="00E574F6">
            <w:r>
              <w:t>1988-1998</w:t>
            </w:r>
          </w:p>
        </w:tc>
        <w:tc>
          <w:tcPr>
            <w:tcW w:w="0" w:type="auto"/>
          </w:tcPr>
          <w:p w:rsidR="00E574F6" w:rsidRDefault="00E574F6" w:rsidP="00E574F6">
            <w:r>
              <w:t>11</w:t>
            </w:r>
          </w:p>
        </w:tc>
        <w:tc>
          <w:tcPr>
            <w:tcW w:w="0" w:type="auto"/>
          </w:tcPr>
          <w:p w:rsidR="00E574F6" w:rsidRDefault="00E574F6" w:rsidP="00E574F6">
            <w:r>
              <w:t>1265</w:t>
            </w:r>
          </w:p>
        </w:tc>
        <w:tc>
          <w:tcPr>
            <w:tcW w:w="0" w:type="auto"/>
          </w:tcPr>
          <w:p w:rsidR="00E574F6" w:rsidRDefault="00E574F6" w:rsidP="00E574F6">
            <w:r>
              <w:t>107970.2</w:t>
            </w:r>
          </w:p>
        </w:tc>
        <w:tc>
          <w:tcPr>
            <w:tcW w:w="0" w:type="auto"/>
          </w:tcPr>
          <w:p w:rsidR="00E574F6" w:rsidRDefault="00E574F6" w:rsidP="00E574F6">
            <w:r>
              <w:t>328.59</w:t>
            </w:r>
          </w:p>
        </w:tc>
        <w:tc>
          <w:tcPr>
            <w:tcW w:w="0" w:type="auto"/>
          </w:tcPr>
          <w:p w:rsidR="00E574F6" w:rsidRDefault="00E574F6" w:rsidP="00E574F6">
            <w:r>
              <w:t>1060</w:t>
            </w:r>
          </w:p>
        </w:tc>
        <w:tc>
          <w:tcPr>
            <w:tcW w:w="0" w:type="auto"/>
          </w:tcPr>
          <w:p w:rsidR="00E574F6" w:rsidRDefault="00E574F6" w:rsidP="00E574F6">
            <w:r>
              <w:t>1314</w:t>
            </w:r>
          </w:p>
        </w:tc>
        <w:tc>
          <w:tcPr>
            <w:tcW w:w="0" w:type="auto"/>
          </w:tcPr>
          <w:p w:rsidR="00E574F6" w:rsidRDefault="00E574F6" w:rsidP="00E574F6">
            <w:r>
              <w:t>1437</w:t>
            </w:r>
          </w:p>
        </w:tc>
      </w:tr>
      <w:tr w:rsidR="00E574F6" w:rsidTr="00E574F6">
        <w:trPr>
          <w:trHeight w:val="674"/>
        </w:trPr>
        <w:tc>
          <w:tcPr>
            <w:tcW w:w="0" w:type="auto"/>
          </w:tcPr>
          <w:p w:rsidR="00E574F6" w:rsidRDefault="00E574F6" w:rsidP="00E574F6">
            <w:r>
              <w:t>VMP2</w:t>
            </w:r>
          </w:p>
          <w:p w:rsidR="00E574F6" w:rsidRDefault="00E574F6" w:rsidP="00E574F6">
            <w:r>
              <w:t>1999-2003</w:t>
            </w:r>
          </w:p>
        </w:tc>
        <w:tc>
          <w:tcPr>
            <w:tcW w:w="0" w:type="auto"/>
          </w:tcPr>
          <w:p w:rsidR="00E574F6" w:rsidRDefault="00E574F6" w:rsidP="00E574F6">
            <w:r>
              <w:t>5</w:t>
            </w:r>
          </w:p>
        </w:tc>
        <w:tc>
          <w:tcPr>
            <w:tcW w:w="0" w:type="auto"/>
          </w:tcPr>
          <w:p w:rsidR="00E574F6" w:rsidRDefault="00E574F6" w:rsidP="00E574F6">
            <w:r>
              <w:t>1073</w:t>
            </w:r>
          </w:p>
        </w:tc>
        <w:tc>
          <w:tcPr>
            <w:tcW w:w="0" w:type="auto"/>
          </w:tcPr>
          <w:p w:rsidR="00E574F6" w:rsidRDefault="00E574F6" w:rsidP="00E574F6">
            <w:r>
              <w:t>33428.26</w:t>
            </w:r>
          </w:p>
        </w:tc>
        <w:tc>
          <w:tcPr>
            <w:tcW w:w="0" w:type="auto"/>
          </w:tcPr>
          <w:p w:rsidR="00E574F6" w:rsidRDefault="00E574F6" w:rsidP="00E574F6">
            <w:r>
              <w:t>182.83</w:t>
            </w:r>
          </w:p>
        </w:tc>
        <w:tc>
          <w:tcPr>
            <w:tcW w:w="0" w:type="auto"/>
          </w:tcPr>
          <w:p w:rsidR="00E574F6" w:rsidRDefault="00E574F6" w:rsidP="00E574F6">
            <w:r>
              <w:t>1066</w:t>
            </w:r>
          </w:p>
        </w:tc>
        <w:tc>
          <w:tcPr>
            <w:tcW w:w="0" w:type="auto"/>
          </w:tcPr>
          <w:p w:rsidR="00E574F6" w:rsidRDefault="00E574F6" w:rsidP="00E574F6">
            <w:r>
              <w:t>1106</w:t>
            </w:r>
          </w:p>
        </w:tc>
        <w:tc>
          <w:tcPr>
            <w:tcW w:w="0" w:type="auto"/>
          </w:tcPr>
          <w:p w:rsidR="00E574F6" w:rsidRDefault="00E574F6" w:rsidP="00E574F6">
            <w:r>
              <w:t>1187</w:t>
            </w:r>
          </w:p>
        </w:tc>
      </w:tr>
      <w:tr w:rsidR="00E574F6" w:rsidTr="00E574F6">
        <w:trPr>
          <w:trHeight w:val="674"/>
        </w:trPr>
        <w:tc>
          <w:tcPr>
            <w:tcW w:w="0" w:type="auto"/>
          </w:tcPr>
          <w:p w:rsidR="00E574F6" w:rsidRDefault="00E574F6" w:rsidP="00E574F6">
            <w:r>
              <w:t>VMP3</w:t>
            </w:r>
          </w:p>
          <w:p w:rsidR="00E574F6" w:rsidRDefault="00E574F6" w:rsidP="00E574F6">
            <w:r>
              <w:t>2004-2006</w:t>
            </w:r>
          </w:p>
        </w:tc>
        <w:tc>
          <w:tcPr>
            <w:tcW w:w="0" w:type="auto"/>
          </w:tcPr>
          <w:p w:rsidR="00E574F6" w:rsidRDefault="00E574F6" w:rsidP="00E574F6">
            <w:r>
              <w:t>3</w:t>
            </w:r>
          </w:p>
        </w:tc>
        <w:tc>
          <w:tcPr>
            <w:tcW w:w="0" w:type="auto"/>
          </w:tcPr>
          <w:p w:rsidR="00E574F6" w:rsidRDefault="00E574F6" w:rsidP="00E574F6">
            <w:r>
              <w:t>926.2</w:t>
            </w:r>
          </w:p>
        </w:tc>
        <w:tc>
          <w:tcPr>
            <w:tcW w:w="0" w:type="auto"/>
          </w:tcPr>
          <w:p w:rsidR="00E574F6" w:rsidRDefault="00E574F6" w:rsidP="00E574F6">
            <w:r>
              <w:t>10828.9</w:t>
            </w:r>
          </w:p>
        </w:tc>
        <w:tc>
          <w:tcPr>
            <w:tcW w:w="0" w:type="auto"/>
          </w:tcPr>
          <w:p w:rsidR="00E574F6" w:rsidRDefault="00E574F6" w:rsidP="00E574F6">
            <w:r>
              <w:t>104.1</w:t>
            </w:r>
          </w:p>
        </w:tc>
        <w:tc>
          <w:tcPr>
            <w:tcW w:w="0" w:type="auto"/>
          </w:tcPr>
          <w:p w:rsidR="00E574F6" w:rsidRDefault="00E574F6" w:rsidP="00E574F6">
            <w:r>
              <w:t>883.6</w:t>
            </w:r>
          </w:p>
        </w:tc>
        <w:tc>
          <w:tcPr>
            <w:tcW w:w="0" w:type="auto"/>
          </w:tcPr>
          <w:p w:rsidR="00E574F6" w:rsidRDefault="00E574F6" w:rsidP="00E574F6">
            <w:r>
              <w:t>956.9</w:t>
            </w:r>
          </w:p>
        </w:tc>
        <w:tc>
          <w:tcPr>
            <w:tcW w:w="0" w:type="auto"/>
          </w:tcPr>
          <w:p w:rsidR="00E574F6" w:rsidRDefault="00E574F6" w:rsidP="00E574F6">
            <w:r>
              <w:t>984.1</w:t>
            </w:r>
          </w:p>
        </w:tc>
      </w:tr>
    </w:tbl>
    <w:p w:rsidR="00A32174" w:rsidRDefault="00A32174" w:rsidP="000166F6"/>
    <w:p w:rsidR="00765125" w:rsidRDefault="00E574F6" w:rsidP="00D176F1">
      <w:pPr>
        <w:jc w:val="both"/>
      </w:pPr>
      <w:r>
        <w:t>e) In the table we can see the clear, regular decrease in the means of each period. We can also easily see the difference in period</w:t>
      </w:r>
      <w:r w:rsidR="003A1A1B">
        <w:t>s</w:t>
      </w:r>
      <w:r>
        <w:t xml:space="preserve"> one and two compared to periods three and four in terms of variance and standard deviation. Period 1 and 2 are characterized by large variances and deviations, meaning high unpredictability in year-to-year nitrate load</w:t>
      </w:r>
      <w:r w:rsidR="00765125">
        <w:t xml:space="preserve">s, not easily seen in the boxplot. </w:t>
      </w:r>
      <w:r>
        <w:t xml:space="preserve">One thing the VMP2 accomplished was the </w:t>
      </w:r>
      <w:r w:rsidR="00765125">
        <w:t>reduction in variability of nitrate loads, which, while not affecting the total load</w:t>
      </w:r>
      <w:r w:rsidR="003A1A1B">
        <w:t xml:space="preserve"> over the period considerably, </w:t>
      </w:r>
      <w:r w:rsidR="00765125">
        <w:t>does make year-to-year management of the ecosystem easier. The boxplot shows the decrease in variability, but only qualitatively. The table quantifies the reduction in variance. The prediction for next year’s load can be much more precise. VMP3 also decreased average load and decreased variability even further, another important step to nutrient level regulation attainment.</w:t>
      </w:r>
    </w:p>
    <w:p w:rsidR="00765125" w:rsidRDefault="00C14899" w:rsidP="00C14899">
      <w:pPr>
        <w:pStyle w:val="ListParagraph"/>
        <w:numPr>
          <w:ilvl w:val="0"/>
          <w:numId w:val="1"/>
        </w:numPr>
      </w:pPr>
      <w:r>
        <w:rPr>
          <w:noProof/>
        </w:rPr>
        <mc:AlternateContent>
          <mc:Choice Requires="wps">
            <w:drawing>
              <wp:anchor distT="0" distB="0" distL="114300" distR="114300" simplePos="0" relativeHeight="251674624" behindDoc="0" locked="0" layoutInCell="1" allowOverlap="1" wp14:anchorId="1907E2FB" wp14:editId="5E9B7EF7">
                <wp:simplePos x="0" y="0"/>
                <wp:positionH relativeFrom="column">
                  <wp:posOffset>3390899</wp:posOffset>
                </wp:positionH>
                <wp:positionV relativeFrom="paragraph">
                  <wp:posOffset>119380</wp:posOffset>
                </wp:positionV>
                <wp:extent cx="3038475" cy="18097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809750"/>
                        </a:xfrm>
                        <a:prstGeom prst="rect">
                          <a:avLst/>
                        </a:prstGeom>
                        <a:solidFill>
                          <a:srgbClr val="FFFFFF"/>
                        </a:solidFill>
                        <a:ln w="9525">
                          <a:solidFill>
                            <a:schemeClr val="bg1"/>
                          </a:solidFill>
                          <a:miter lim="800000"/>
                          <a:headEnd/>
                          <a:tailEnd/>
                        </a:ln>
                      </wps:spPr>
                      <wps:txbx>
                        <w:txbxContent>
                          <w:p w:rsidR="00C14899" w:rsidRPr="00C14899" w:rsidRDefault="00C14899">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1-α/2 </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m:oMathPara>
                          </w:p>
                          <w:p w:rsidR="00C14899" w:rsidRDefault="00C14899">
                            <w:pPr>
                              <w:rPr>
                                <w:rFonts w:eastAsiaTheme="minorEastAsia"/>
                              </w:rPr>
                            </w:pPr>
                            <w:r>
                              <w:rPr>
                                <w:rFonts w:eastAsiaTheme="minorEastAsia"/>
                              </w:rPr>
                              <w:t>This equation gives a confidence interval around a sample mean. For the VMP0:</w:t>
                            </w:r>
                          </w:p>
                          <w:p w:rsidR="003A1A1B" w:rsidRPr="00C14899" w:rsidRDefault="003A1A1B">
                            <m:oMathPara>
                              <m:oMathParaPr>
                                <m:jc m:val="center"/>
                              </m:oMathParaPr>
                              <m:oMath>
                                <m:r>
                                  <w:rPr>
                                    <w:rFonts w:ascii="Cambria Math" w:hAnsi="Cambria Math"/>
                                  </w:rPr>
                                  <m:t>1625 ±</m:t>
                                </m:r>
                                <m:sSub>
                                  <m:sSubPr>
                                    <m:ctrlPr>
                                      <w:rPr>
                                        <w:rFonts w:ascii="Cambria Math" w:hAnsi="Cambria Math"/>
                                        <w:i/>
                                      </w:rPr>
                                    </m:ctrlPr>
                                  </m:sSubPr>
                                  <m:e>
                                    <m:r>
                                      <w:rPr>
                                        <w:rFonts w:ascii="Cambria Math" w:hAnsi="Cambria Math"/>
                                      </w:rPr>
                                      <m:t>t</m:t>
                                    </m:r>
                                  </m:e>
                                  <m:sub>
                                    <m:r>
                                      <w:rPr>
                                        <w:rFonts w:ascii="Cambria Math" w:hAnsi="Cambria Math"/>
                                      </w:rPr>
                                      <m:t>0.975</m:t>
                                    </m:r>
                                  </m:sub>
                                </m:sSub>
                                <m:r>
                                  <w:rPr>
                                    <w:rFonts w:ascii="Cambria Math" w:hAnsi="Cambria Math"/>
                                  </w:rPr>
                                  <m:t>∙</m:t>
                                </m:r>
                                <m:f>
                                  <m:fPr>
                                    <m:ctrlPr>
                                      <w:rPr>
                                        <w:rFonts w:ascii="Cambria Math" w:hAnsi="Cambria Math"/>
                                        <w:i/>
                                      </w:rPr>
                                    </m:ctrlPr>
                                  </m:fPr>
                                  <m:num>
                                    <m:r>
                                      <w:rPr>
                                        <w:rFonts w:ascii="Cambria Math" w:hAnsi="Cambria Math"/>
                                      </w:rPr>
                                      <m:t>324.84</m:t>
                                    </m:r>
                                  </m:num>
                                  <m:den>
                                    <m:rad>
                                      <m:radPr>
                                        <m:degHide m:val="1"/>
                                        <m:ctrlPr>
                                          <w:rPr>
                                            <w:rFonts w:ascii="Cambria Math" w:hAnsi="Cambria Math"/>
                                            <w:i/>
                                          </w:rPr>
                                        </m:ctrlPr>
                                      </m:radPr>
                                      <m:deg/>
                                      <m:e>
                                        <m:r>
                                          <w:rPr>
                                            <w:rFonts w:ascii="Cambria Math" w:hAnsi="Cambria Math"/>
                                          </w:rPr>
                                          <m:t>6</m:t>
                                        </m:r>
                                      </m:e>
                                    </m:rad>
                                  </m:den>
                                </m:f>
                                <m:r>
                                  <w:rPr>
                                    <w:rFonts w:ascii="Cambria Math" w:hAnsi="Cambria Math"/>
                                  </w:rPr>
                                  <m:t>=[1238.65, 1965.45]</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7pt;margin-top:9.4pt;width:239.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" strokecolor="white [3212]">
                <v:textbox>
                  <w:txbxContent>
                    <w:p w:rsidR="00C14899" w:rsidRPr="00C14899" w:rsidRDefault="00C14899">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1-α/2 </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m:oMathPara>
                    </w:p>
                    <w:p w:rsidR="00C14899" w:rsidRDefault="00C14899">
                      <w:pPr>
                        <w:rPr>
                          <w:rFonts w:eastAsiaTheme="minorEastAsia"/>
                        </w:rPr>
                      </w:pPr>
                      <w:r>
                        <w:rPr>
                          <w:rFonts w:eastAsiaTheme="minorEastAsia"/>
                        </w:rPr>
                        <w:t>This equation gives a confidence interval around a sample mean. For the VMP0:</w:t>
                      </w:r>
                    </w:p>
                    <w:p w:rsidR="003A1A1B" w:rsidRPr="00C14899" w:rsidRDefault="003A1A1B">
                      <m:oMathPara>
                        <m:oMathParaPr>
                          <m:jc m:val="center"/>
                        </m:oMathParaPr>
                        <m:oMath>
                          <m:r>
                            <w:rPr>
                              <w:rFonts w:ascii="Cambria Math" w:hAnsi="Cambria Math"/>
                            </w:rPr>
                            <m:t>1625 ±</m:t>
                          </m:r>
                          <m:sSub>
                            <m:sSubPr>
                              <m:ctrlPr>
                                <w:rPr>
                                  <w:rFonts w:ascii="Cambria Math" w:hAnsi="Cambria Math"/>
                                  <w:i/>
                                </w:rPr>
                              </m:ctrlPr>
                            </m:sSubPr>
                            <m:e>
                              <m:r>
                                <w:rPr>
                                  <w:rFonts w:ascii="Cambria Math" w:hAnsi="Cambria Math"/>
                                </w:rPr>
                                <m:t>t</m:t>
                              </m:r>
                            </m:e>
                            <m:sub>
                              <m:r>
                                <w:rPr>
                                  <w:rFonts w:ascii="Cambria Math" w:hAnsi="Cambria Math"/>
                                </w:rPr>
                                <m:t>0.975</m:t>
                              </m:r>
                            </m:sub>
                          </m:sSub>
                          <m:r>
                            <w:rPr>
                              <w:rFonts w:ascii="Cambria Math" w:hAnsi="Cambria Math"/>
                            </w:rPr>
                            <m:t>∙</m:t>
                          </m:r>
                          <m:f>
                            <m:fPr>
                              <m:ctrlPr>
                                <w:rPr>
                                  <w:rFonts w:ascii="Cambria Math" w:hAnsi="Cambria Math"/>
                                  <w:i/>
                                </w:rPr>
                              </m:ctrlPr>
                            </m:fPr>
                            <m:num>
                              <m:r>
                                <w:rPr>
                                  <w:rFonts w:ascii="Cambria Math" w:hAnsi="Cambria Math"/>
                                </w:rPr>
                                <m:t>324.84</m:t>
                              </m:r>
                            </m:num>
                            <m:den>
                              <m:rad>
                                <m:radPr>
                                  <m:degHide m:val="1"/>
                                  <m:ctrlPr>
                                    <w:rPr>
                                      <w:rFonts w:ascii="Cambria Math" w:hAnsi="Cambria Math"/>
                                      <w:i/>
                                    </w:rPr>
                                  </m:ctrlPr>
                                </m:radPr>
                                <m:deg/>
                                <m:e>
                                  <m:r>
                                    <w:rPr>
                                      <w:rFonts w:ascii="Cambria Math" w:hAnsi="Cambria Math"/>
                                    </w:rPr>
                                    <m:t>6</m:t>
                                  </m:r>
                                </m:e>
                              </m:rad>
                            </m:den>
                          </m:f>
                          <m:r>
                            <w:rPr>
                              <w:rFonts w:ascii="Cambria Math" w:hAnsi="Cambria Math"/>
                            </w:rPr>
                            <m:t>=[1238.65, 1965.45]</m:t>
                          </m:r>
                        </m:oMath>
                      </m:oMathPara>
                    </w:p>
                  </w:txbxContent>
                </v:textbox>
              </v:shape>
            </w:pict>
          </mc:Fallback>
        </mc:AlternateContent>
      </w:r>
      <w:r w:rsidR="00765125">
        <w:t>Confidence Intervals and Hypothesis Tests</w:t>
      </w:r>
    </w:p>
    <w:tbl>
      <w:tblPr>
        <w:tblStyle w:val="TableGrid"/>
        <w:tblW w:w="0" w:type="auto"/>
        <w:tblLook w:val="04A0" w:firstRow="1" w:lastRow="0" w:firstColumn="1" w:lastColumn="0" w:noHBand="0" w:noVBand="1"/>
      </w:tblPr>
      <w:tblGrid>
        <w:gridCol w:w="1176"/>
        <w:gridCol w:w="1716"/>
        <w:gridCol w:w="1723"/>
      </w:tblGrid>
      <w:tr w:rsidR="00765125" w:rsidTr="00C14899">
        <w:tc>
          <w:tcPr>
            <w:tcW w:w="0" w:type="auto"/>
          </w:tcPr>
          <w:p w:rsidR="00765125" w:rsidRDefault="00765125" w:rsidP="00765125">
            <w:r>
              <w:t>f)</w:t>
            </w:r>
          </w:p>
        </w:tc>
        <w:tc>
          <w:tcPr>
            <w:tcW w:w="0" w:type="auto"/>
          </w:tcPr>
          <w:p w:rsidR="00765125" w:rsidRDefault="00765125" w:rsidP="00765125">
            <w:r>
              <w:t>Lower Limit of CI</w:t>
            </w:r>
          </w:p>
        </w:tc>
        <w:tc>
          <w:tcPr>
            <w:tcW w:w="0" w:type="auto"/>
          </w:tcPr>
          <w:p w:rsidR="00765125" w:rsidRDefault="00765125" w:rsidP="00765125">
            <w:r>
              <w:t>Upper Limit of CI</w:t>
            </w:r>
          </w:p>
        </w:tc>
      </w:tr>
      <w:tr w:rsidR="00765125" w:rsidTr="00C14899">
        <w:tc>
          <w:tcPr>
            <w:tcW w:w="0" w:type="auto"/>
          </w:tcPr>
          <w:p w:rsidR="00765125" w:rsidRDefault="00765125" w:rsidP="00765125">
            <w:r>
              <w:t>VMP0</w:t>
            </w:r>
          </w:p>
          <w:p w:rsidR="00765125" w:rsidRDefault="00765125" w:rsidP="00765125">
            <w:r>
              <w:t>1982-1987</w:t>
            </w:r>
          </w:p>
        </w:tc>
        <w:tc>
          <w:tcPr>
            <w:tcW w:w="0" w:type="auto"/>
          </w:tcPr>
          <w:p w:rsidR="00765125" w:rsidRDefault="009932C3" w:rsidP="00765125">
            <w:r>
              <w:t>1283.65</w:t>
            </w:r>
          </w:p>
        </w:tc>
        <w:tc>
          <w:tcPr>
            <w:tcW w:w="0" w:type="auto"/>
          </w:tcPr>
          <w:p w:rsidR="00765125" w:rsidRDefault="009932C3" w:rsidP="00765125">
            <w:r>
              <w:t>1965.45</w:t>
            </w:r>
          </w:p>
        </w:tc>
      </w:tr>
      <w:tr w:rsidR="00765125" w:rsidTr="00C14899">
        <w:tc>
          <w:tcPr>
            <w:tcW w:w="0" w:type="auto"/>
          </w:tcPr>
          <w:p w:rsidR="00765125" w:rsidRDefault="00765125" w:rsidP="00765125">
            <w:r>
              <w:t>VMP1</w:t>
            </w:r>
          </w:p>
          <w:p w:rsidR="00765125" w:rsidRDefault="00765125" w:rsidP="00765125">
            <w:r>
              <w:t>1988-1998</w:t>
            </w:r>
          </w:p>
        </w:tc>
        <w:tc>
          <w:tcPr>
            <w:tcW w:w="0" w:type="auto"/>
          </w:tcPr>
          <w:p w:rsidR="00765125" w:rsidRDefault="009932C3" w:rsidP="00765125">
            <w:r>
              <w:t>1044.7</w:t>
            </w:r>
          </w:p>
        </w:tc>
        <w:tc>
          <w:tcPr>
            <w:tcW w:w="0" w:type="auto"/>
          </w:tcPr>
          <w:p w:rsidR="00765125" w:rsidRDefault="009932C3" w:rsidP="00765125">
            <w:r>
              <w:t>1486.2</w:t>
            </w:r>
          </w:p>
        </w:tc>
      </w:tr>
      <w:tr w:rsidR="00765125" w:rsidTr="00C14899">
        <w:tc>
          <w:tcPr>
            <w:tcW w:w="0" w:type="auto"/>
          </w:tcPr>
          <w:p w:rsidR="00765125" w:rsidRDefault="00765125" w:rsidP="00765125">
            <w:r>
              <w:t>VMP2</w:t>
            </w:r>
          </w:p>
          <w:p w:rsidR="00765125" w:rsidRDefault="00765125" w:rsidP="00765125">
            <w:r>
              <w:t>1999-2003</w:t>
            </w:r>
          </w:p>
        </w:tc>
        <w:tc>
          <w:tcPr>
            <w:tcW w:w="0" w:type="auto"/>
          </w:tcPr>
          <w:p w:rsidR="00765125" w:rsidRDefault="009932C3" w:rsidP="00765125">
            <w:r>
              <w:t>845.88</w:t>
            </w:r>
          </w:p>
        </w:tc>
        <w:tc>
          <w:tcPr>
            <w:tcW w:w="0" w:type="auto"/>
          </w:tcPr>
          <w:p w:rsidR="00765125" w:rsidRDefault="009932C3" w:rsidP="00765125">
            <w:r>
              <w:t>1299.91</w:t>
            </w:r>
          </w:p>
        </w:tc>
      </w:tr>
      <w:tr w:rsidR="00765125" w:rsidTr="00C14899">
        <w:tc>
          <w:tcPr>
            <w:tcW w:w="0" w:type="auto"/>
          </w:tcPr>
          <w:p w:rsidR="00765125" w:rsidRDefault="00765125" w:rsidP="00765125">
            <w:r>
              <w:t>VMP3</w:t>
            </w:r>
          </w:p>
          <w:p w:rsidR="00765125" w:rsidRDefault="00765125" w:rsidP="00765125">
            <w:r>
              <w:t>2004-2006</w:t>
            </w:r>
          </w:p>
        </w:tc>
        <w:tc>
          <w:tcPr>
            <w:tcW w:w="0" w:type="auto"/>
          </w:tcPr>
          <w:p w:rsidR="00765125" w:rsidRDefault="009932C3" w:rsidP="00765125">
            <w:r>
              <w:t>667.65</w:t>
            </w:r>
          </w:p>
        </w:tc>
        <w:tc>
          <w:tcPr>
            <w:tcW w:w="0" w:type="auto"/>
          </w:tcPr>
          <w:p w:rsidR="009932C3" w:rsidRDefault="009932C3" w:rsidP="00765125">
            <w:r>
              <w:t>1184.67</w:t>
            </w:r>
          </w:p>
        </w:tc>
      </w:tr>
    </w:tbl>
    <w:p w:rsidR="00C14899" w:rsidRDefault="00C14899" w:rsidP="00765125"/>
    <w:p w:rsidR="00765125" w:rsidRDefault="00765125" w:rsidP="00D176F1">
      <w:pPr>
        <w:jc w:val="both"/>
      </w:pPr>
      <w:r>
        <w:t xml:space="preserve">g) </w:t>
      </w:r>
      <w:r w:rsidR="009932C3">
        <w:t xml:space="preserve">All of the confidence bands overlap with the preceding and succeeding periods. In fact, the only two intervals that do not overlap are the </w:t>
      </w:r>
      <w:r w:rsidR="00A33A7F">
        <w:t xml:space="preserve">VMP0 and VMP3 periods. What is surprising is that the band widths do not change drastically. While the confidence band varies by about 700 for VMP0, the </w:t>
      </w:r>
      <w:r w:rsidR="005D7CA2">
        <w:t xml:space="preserve">other three periods’ </w:t>
      </w:r>
      <w:r w:rsidR="00A33A7F">
        <w:t xml:space="preserve">intervals are all about 400. The interval does not decrease </w:t>
      </w:r>
      <w:r w:rsidR="005D7CA2">
        <w:t>very drastically with the mean. While the mean drops, the intervals stay static.</w:t>
      </w:r>
    </w:p>
    <w:p w:rsidR="005D7CA2" w:rsidRDefault="005D7CA2" w:rsidP="00765125"/>
    <w:p w:rsidR="005D7CA2" w:rsidRDefault="005D7CA2" w:rsidP="00765125">
      <w:r>
        <w:t>h) For a null- and alternative hypothesis impact on the N</w:t>
      </w:r>
      <w:r w:rsidR="00172EFE">
        <w:t>itrate load into Skive fjord:</w:t>
      </w:r>
    </w:p>
    <w:p w:rsidR="00172EFE" w:rsidRDefault="00172EFE" w:rsidP="00172EFE">
      <w:pPr>
        <w:autoSpaceDE w:val="0"/>
        <w:autoSpaceDN w:val="0"/>
        <w:adjustRightInd w:val="0"/>
        <w:spacing w:after="0" w:line="240" w:lineRule="auto"/>
        <w:jc w:val="center"/>
        <w:rPr>
          <w:rFonts w:ascii="URWPalladioL-Roma" w:hAnsi="URWPalladioL-Roma" w:cs="URWPalladioL-Roma"/>
          <w:sz w:val="24"/>
          <w:szCs w:val="24"/>
        </w:rPr>
      </w:pPr>
      <w:proofErr w:type="gramStart"/>
      <w:r>
        <w:rPr>
          <w:rFonts w:ascii="URWPalladioL-Ital" w:hAnsi="URWPalladioL-Ital" w:cs="URWPalladioL-Ital"/>
          <w:sz w:val="24"/>
          <w:szCs w:val="24"/>
        </w:rPr>
        <w:t>H</w:t>
      </w:r>
      <w:r>
        <w:rPr>
          <w:rFonts w:ascii="URWPalladioL-Roma" w:hAnsi="URWPalladioL-Roma" w:cs="URWPalladioL-Roma"/>
          <w:sz w:val="18"/>
          <w:szCs w:val="18"/>
        </w:rPr>
        <w:t xml:space="preserve">0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vmp0 </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vmp3</w:t>
      </w:r>
    </w:p>
    <w:p w:rsidR="00172EFE" w:rsidRDefault="00172EFE" w:rsidP="00172EFE">
      <w:pPr>
        <w:jc w:val="center"/>
        <w:rPr>
          <w:rFonts w:ascii="URWPalladioL-Roma" w:hAnsi="URWPalladioL-Roma" w:cs="URWPalladioL-Roma"/>
          <w:sz w:val="18"/>
          <w:szCs w:val="18"/>
        </w:rPr>
      </w:pPr>
      <w:proofErr w:type="gramStart"/>
      <w:r>
        <w:rPr>
          <w:rFonts w:ascii="URWPalladioL-Ital" w:hAnsi="URWPalladioL-Ital" w:cs="URWPalladioL-Ital"/>
          <w:sz w:val="24"/>
          <w:szCs w:val="24"/>
        </w:rPr>
        <w:t>H</w:t>
      </w:r>
      <w:r>
        <w:rPr>
          <w:rFonts w:ascii="URWPalladioL-Roma" w:hAnsi="URWPalladioL-Roma" w:cs="URWPalladioL-Roma"/>
          <w:sz w:val="18"/>
          <w:szCs w:val="18"/>
        </w:rPr>
        <w:t xml:space="preserve">1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vmp0 </w:t>
      </w:r>
      <w:r>
        <w:rPr>
          <w:rFonts w:ascii="PazoMath-Italic" w:hAnsi="PazoMath-Italic" w:cs="URWPalladioL-Roma"/>
          <w:sz w:val="18"/>
          <w:szCs w:val="18"/>
        </w:rPr>
        <w:t>≠</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vmp3</w:t>
      </w:r>
    </w:p>
    <w:p w:rsidR="00172EFE" w:rsidRDefault="00172EFE" w:rsidP="00D176F1">
      <w:pPr>
        <w:jc w:val="both"/>
      </w:pPr>
      <w:r>
        <w:tab/>
        <w:t xml:space="preserve">That is to say that up the mean of VMP0 is not </w:t>
      </w:r>
      <w:r w:rsidR="003A1A1B">
        <w:t>statistically</w:t>
      </w:r>
      <w:r>
        <w:t xml:space="preserve"> significantly different than the mean of VMP3, we will accept the null hypothesis, and the VMPs will have not had an effect. If the mean of VMP0 is significantly different than the mean of VMP3, based on an arbitrary significance factor α of our choosing (typical is 0.05, or 5% chance that the differences between the two means is due to random variation). This type of hypothesis testing is known as “non-directional” testing. This means that we do not care if the difference between the means is positive or negative, just whether or not it exists. In this case it may also be useful to perform directional hypothesis testing, specifically negative direction testing, to see if the VMPs have lowered the nitrate load. It</w:t>
      </w:r>
      <w:r w:rsidR="00497486">
        <w:t xml:space="preserve"> would be very problematic if the regulation actually </w:t>
      </w:r>
      <w:r w:rsidR="00497486">
        <w:rPr>
          <w:i/>
        </w:rPr>
        <w:t>increased</w:t>
      </w:r>
      <w:r w:rsidR="00497486">
        <w:t xml:space="preserve"> the nitrate load. </w:t>
      </w:r>
    </w:p>
    <w:p w:rsidR="00497486" w:rsidRDefault="00497486" w:rsidP="00172EFE">
      <w:r>
        <w:tab/>
        <w:t>The formula for calculating the test statistic needed in this hypothesis test is as follows:</w:t>
      </w:r>
    </w:p>
    <w:p w:rsidR="00497486" w:rsidRPr="00497486" w:rsidRDefault="00497486" w:rsidP="00172E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oMath>
      </m:oMathPara>
    </w:p>
    <w:p w:rsidR="0037032D" w:rsidRDefault="00497486" w:rsidP="003A1A1B">
      <w:pPr>
        <w:ind w:firstLine="720"/>
        <w:rPr>
          <w:rFonts w:eastAsiaTheme="minorEastAsia"/>
          <w:sz w:val="20"/>
        </w:rPr>
      </w:pPr>
      <w:r w:rsidRPr="003A1A1B">
        <w:rPr>
          <w:rFonts w:eastAsiaTheme="minorEastAsia"/>
          <w:sz w:val="20"/>
        </w:rPr>
        <w:t>Where µ = µ</w:t>
      </w:r>
      <w:r w:rsidRPr="003A1A1B">
        <w:rPr>
          <w:rFonts w:eastAsiaTheme="minorEastAsia"/>
          <w:sz w:val="20"/>
          <w:vertAlign w:val="subscript"/>
        </w:rPr>
        <w:t>0</w:t>
      </w:r>
      <w:r w:rsidRPr="003A1A1B">
        <w:rPr>
          <w:rFonts w:eastAsiaTheme="minorEastAsia"/>
          <w:sz w:val="20"/>
        </w:rPr>
        <w:t xml:space="preserve"> under the null hypothesis, H</w:t>
      </w:r>
      <w:r w:rsidRPr="003A1A1B">
        <w:rPr>
          <w:rFonts w:eastAsiaTheme="minorEastAsia"/>
          <w:sz w:val="20"/>
          <w:vertAlign w:val="subscript"/>
        </w:rPr>
        <w:t>0</w:t>
      </w:r>
      <w:r w:rsidRPr="003A1A1B">
        <w:rPr>
          <w:rFonts w:eastAsiaTheme="minorEastAsia"/>
          <w:sz w:val="20"/>
        </w:rPr>
        <w:t xml:space="preserve">. </w:t>
      </w:r>
    </w:p>
    <w:p w:rsidR="00497486" w:rsidRDefault="00497486" w:rsidP="00D176F1">
      <w:pPr>
        <w:ind w:firstLine="720"/>
        <w:jc w:val="both"/>
        <w:rPr>
          <w:rFonts w:eastAsiaTheme="minorEastAsia"/>
        </w:rPr>
      </w:pPr>
      <w:r w:rsidRPr="0037032D">
        <w:rPr>
          <w:rFonts w:eastAsiaTheme="minorEastAsia"/>
        </w:rPr>
        <w:t>To use this observed t value to find statistical significance, we must find a P-value to compare to our significance factor α:</w:t>
      </w:r>
    </w:p>
    <w:p w:rsidR="00497486" w:rsidRPr="00497486" w:rsidRDefault="00497486" w:rsidP="00172EF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value</m:t>
              </m:r>
            </m:sub>
          </m:sSub>
          <m:r>
            <w:rPr>
              <w:rFonts w:ascii="Cambria Math" w:hAnsi="Cambria Math"/>
            </w:rPr>
            <m:t>=2∙P(T&gt;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obs</m:t>
                  </m:r>
                </m:sub>
              </m:sSub>
            </m:e>
          </m:d>
          <m:r>
            <w:rPr>
              <w:rFonts w:ascii="Cambria Math" w:hAnsi="Cambria Math"/>
            </w:rPr>
            <m:t>)</m:t>
          </m:r>
        </m:oMath>
      </m:oMathPara>
    </w:p>
    <w:p w:rsidR="00497486" w:rsidRDefault="00497486" w:rsidP="003A1A1B">
      <w:pPr>
        <w:ind w:firstLine="720"/>
        <w:rPr>
          <w:rFonts w:eastAsiaTheme="minorEastAsia"/>
        </w:rPr>
      </w:pPr>
      <w:proofErr w:type="gramStart"/>
      <w:r w:rsidRPr="003A1A1B">
        <w:rPr>
          <w:rFonts w:eastAsiaTheme="minorEastAsia"/>
          <w:sz w:val="20"/>
        </w:rPr>
        <w:t>Where T follows a t-distribution of (n-1) degrees of freedom.</w:t>
      </w:r>
      <w:proofErr w:type="gramEnd"/>
    </w:p>
    <w:p w:rsidR="00497486" w:rsidRDefault="00497486" w:rsidP="00D176F1">
      <w:pPr>
        <w:jc w:val="both"/>
        <w:rPr>
          <w:rFonts w:eastAsiaTheme="minorEastAsia"/>
        </w:rPr>
      </w:pPr>
      <w:r>
        <w:rPr>
          <w:rFonts w:eastAsiaTheme="minorEastAsia"/>
        </w:rPr>
        <w:tab/>
        <w:t xml:space="preserve">In R, the function </w:t>
      </w:r>
      <w:proofErr w:type="spellStart"/>
      <w:r w:rsidRPr="00497486">
        <w:rPr>
          <w:rFonts w:eastAsiaTheme="minorEastAsia"/>
          <w:highlight w:val="yellow"/>
        </w:rPr>
        <w:t>t.test</w:t>
      </w:r>
      <w:proofErr w:type="spellEnd"/>
      <w:r>
        <w:rPr>
          <w:rFonts w:eastAsiaTheme="minorEastAsia"/>
        </w:rPr>
        <w:t xml:space="preserve"> will give a P value for a given data set. </w:t>
      </w:r>
      <w:r w:rsidR="00105F83">
        <w:rPr>
          <w:rFonts w:eastAsiaTheme="minorEastAsia"/>
        </w:rPr>
        <w:t xml:space="preserve">For the hypothesis stated above, the P value is </w:t>
      </w:r>
      <w:r w:rsidR="00FE4B5E">
        <w:rPr>
          <w:rFonts w:eastAsiaTheme="minorEastAsia"/>
        </w:rPr>
        <w:t xml:space="preserve">0.003282, or 0.3%. It is extremely unlikely that the change in mean from VMP0 to VMP3 is due to random </w:t>
      </w:r>
      <w:r w:rsidR="00C56EA0">
        <w:rPr>
          <w:rFonts w:eastAsiaTheme="minorEastAsia"/>
        </w:rPr>
        <w:t>variation in the data, and we ca</w:t>
      </w:r>
      <w:r w:rsidR="00FE4B5E">
        <w:rPr>
          <w:rFonts w:eastAsiaTheme="minorEastAsia"/>
        </w:rPr>
        <w:t xml:space="preserve">n confidently assume, with the standard significance threshold α = 5%, the alternative hypothesis. The VMPs are effective in changing the mean nitrate load into the fjord. </w:t>
      </w:r>
    </w:p>
    <w:p w:rsidR="00C56EA0" w:rsidRDefault="00C56EA0" w:rsidP="00D176F1">
      <w:pPr>
        <w:jc w:val="both"/>
        <w:rPr>
          <w:rFonts w:eastAsiaTheme="minorEastAsia"/>
        </w:rPr>
      </w:pPr>
      <w:r>
        <w:rPr>
          <w:rFonts w:eastAsiaTheme="minorEastAsia"/>
        </w:rPr>
        <w:t>If we perform directional hypothesis testing, that is determining the direction of significant change, we can use this hypothesis:</w:t>
      </w:r>
    </w:p>
    <w:p w:rsidR="00C56EA0" w:rsidRDefault="00C56EA0" w:rsidP="00C56EA0">
      <w:pPr>
        <w:autoSpaceDE w:val="0"/>
        <w:autoSpaceDN w:val="0"/>
        <w:adjustRightInd w:val="0"/>
        <w:spacing w:after="0" w:line="240" w:lineRule="auto"/>
        <w:jc w:val="center"/>
        <w:rPr>
          <w:rFonts w:ascii="URWPalladioL-Roma" w:hAnsi="URWPalladioL-Roma" w:cs="URWPalladioL-Roma"/>
          <w:sz w:val="24"/>
          <w:szCs w:val="24"/>
        </w:rPr>
      </w:pPr>
      <w:proofErr w:type="gramStart"/>
      <w:r>
        <w:rPr>
          <w:rFonts w:ascii="URWPalladioL-Ital" w:hAnsi="URWPalladioL-Ital" w:cs="URWPalladioL-Ital"/>
          <w:sz w:val="24"/>
          <w:szCs w:val="24"/>
        </w:rPr>
        <w:t>H</w:t>
      </w:r>
      <w:r>
        <w:rPr>
          <w:rFonts w:ascii="URWPalladioL-Roma" w:hAnsi="URWPalladioL-Roma" w:cs="URWPalladioL-Roma"/>
          <w:sz w:val="18"/>
          <w:szCs w:val="18"/>
        </w:rPr>
        <w:t xml:space="preserve">0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vmp0 </w:t>
      </w:r>
      <w:r>
        <w:rPr>
          <w:rFonts w:ascii="CMR10" w:hAnsi="CMR10" w:cs="CMR10"/>
          <w:sz w:val="25"/>
          <w:szCs w:val="25"/>
        </w:rPr>
        <w:t>≤</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vmp3</w:t>
      </w:r>
    </w:p>
    <w:p w:rsidR="00C56EA0" w:rsidRDefault="00C56EA0" w:rsidP="00C56EA0">
      <w:pPr>
        <w:jc w:val="center"/>
        <w:rPr>
          <w:rFonts w:ascii="URWPalladioL-Roma" w:hAnsi="URWPalladioL-Roma" w:cs="URWPalladioL-Roma"/>
          <w:sz w:val="18"/>
          <w:szCs w:val="18"/>
        </w:rPr>
      </w:pPr>
      <w:proofErr w:type="gramStart"/>
      <w:r>
        <w:rPr>
          <w:rFonts w:ascii="URWPalladioL-Ital" w:hAnsi="URWPalladioL-Ital" w:cs="URWPalladioL-Ital"/>
          <w:sz w:val="24"/>
          <w:szCs w:val="24"/>
        </w:rPr>
        <w:t>H</w:t>
      </w:r>
      <w:r>
        <w:rPr>
          <w:rFonts w:ascii="URWPalladioL-Roma" w:hAnsi="URWPalladioL-Roma" w:cs="URWPalladioL-Roma"/>
          <w:sz w:val="18"/>
          <w:szCs w:val="18"/>
        </w:rPr>
        <w:t xml:space="preserve">1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vmp0 </w:t>
      </w:r>
      <w:r>
        <w:rPr>
          <w:rFonts w:ascii="PazoMath-Italic" w:hAnsi="PazoMath-Italic" w:cs="URWPalladioL-Roma"/>
          <w:sz w:val="18"/>
          <w:szCs w:val="18"/>
        </w:rPr>
        <w:t>&gt;</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vmp3</w:t>
      </w:r>
    </w:p>
    <w:p w:rsidR="00C56EA0" w:rsidRDefault="00C56EA0" w:rsidP="00D176F1">
      <w:pPr>
        <w:jc w:val="both"/>
      </w:pPr>
      <w:r>
        <w:t>This hypothesis is used because we are interested in determining if the VMP decreased the nitrate load, which is their goal. If the VMPs increased the nitrate load, or the load remained the same,</w:t>
      </w:r>
      <w:r w:rsidR="00283A4F">
        <w:t xml:space="preserve"> we accept the null hypothesis. </w:t>
      </w:r>
      <w:r>
        <w:t xml:space="preserve">It is determined that the change is indeed negative, and the likelihood of change being due to random chance is very small. The VMPs are effective in decreasing nitrate load. </w:t>
      </w:r>
    </w:p>
    <w:p w:rsidR="00C56EA0" w:rsidRDefault="00C56EA0" w:rsidP="00D176F1">
      <w:pPr>
        <w:jc w:val="both"/>
      </w:pPr>
      <w:r>
        <w:lastRenderedPageBreak/>
        <w:t xml:space="preserve">i) While the overall change in nitrate load is a decrease likely due to the VMPs, we haven’t determined that any one VMP is responsible, or if any were counterproductive to our goal of decreasing nitrate loads. </w:t>
      </w:r>
      <w:r w:rsidR="00CA7203">
        <w:t>We establish these three hypothesis tests:</w:t>
      </w:r>
    </w:p>
    <w:p w:rsidR="00CA7203" w:rsidRDefault="00CA7203" w:rsidP="00CA7203">
      <w:pPr>
        <w:autoSpaceDE w:val="0"/>
        <w:autoSpaceDN w:val="0"/>
        <w:adjustRightInd w:val="0"/>
        <w:spacing w:after="0"/>
        <w:jc w:val="center"/>
        <w:rPr>
          <w:rFonts w:ascii="URWPalladioL-Roma" w:hAnsi="URWPalladioL-Roma" w:cs="URWPalladioL-Roma"/>
          <w:sz w:val="18"/>
          <w:szCs w:val="18"/>
        </w:rPr>
      </w:pPr>
      <w:r w:rsidRPr="00486B23">
        <w:t>1)</w:t>
      </w:r>
      <w:r>
        <w:rPr>
          <w:rFonts w:ascii="URWPalladioL-Ital" w:hAnsi="URWPalladioL-Ital" w:cs="URWPalladioL-Ital"/>
          <w:sz w:val="24"/>
          <w:szCs w:val="24"/>
        </w:rPr>
        <w:t xml:space="preserve"> </w:t>
      </w:r>
      <w:proofErr w:type="gramStart"/>
      <w:r>
        <w:rPr>
          <w:rFonts w:ascii="URWPalladioL-Ital" w:hAnsi="URWPalladioL-Ital" w:cs="URWPalladioL-Ital"/>
          <w:sz w:val="24"/>
          <w:szCs w:val="24"/>
        </w:rPr>
        <w:t>H</w:t>
      </w:r>
      <w:r>
        <w:rPr>
          <w:rFonts w:ascii="URWPalladioL-Roma" w:hAnsi="URWPalladioL-Roma" w:cs="URWPalladioL-Roma"/>
          <w:sz w:val="18"/>
          <w:szCs w:val="18"/>
        </w:rPr>
        <w:t xml:space="preserve">0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vmp0 </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vmp1</w:t>
      </w:r>
      <w:r w:rsidR="00BB15CD">
        <w:rPr>
          <w:rFonts w:ascii="URWPalladioL-Roma" w:hAnsi="URWPalladioL-Roma" w:cs="URWPalladioL-Roma"/>
          <w:sz w:val="18"/>
          <w:szCs w:val="18"/>
        </w:rPr>
        <w:t xml:space="preserve">   </w:t>
      </w:r>
      <w:r>
        <w:rPr>
          <w:rFonts w:ascii="URWPalladioL-Roma" w:hAnsi="URWPalladioL-Roma" w:cs="URWPalladioL-Roma"/>
          <w:sz w:val="24"/>
          <w:szCs w:val="24"/>
        </w:rPr>
        <w:t xml:space="preserve"> </w:t>
      </w:r>
      <w:r>
        <w:rPr>
          <w:rFonts w:ascii="URWPalladioL-Ital" w:hAnsi="URWPalladioL-Ital" w:cs="URWPalladioL-Ital"/>
          <w:sz w:val="24"/>
          <w:szCs w:val="24"/>
        </w:rPr>
        <w:t>H</w:t>
      </w:r>
      <w:r>
        <w:rPr>
          <w:rFonts w:ascii="URWPalladioL-Roma" w:hAnsi="URWPalladioL-Roma" w:cs="URWPalladioL-Roma"/>
          <w:sz w:val="18"/>
          <w:szCs w:val="18"/>
        </w:rPr>
        <w:t xml:space="preserve">1 </w:t>
      </w:r>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vmp0 </w:t>
      </w:r>
      <w:r>
        <w:rPr>
          <w:rFonts w:ascii="PazoMath-Italic" w:hAnsi="PazoMath-Italic" w:cs="URWPalladioL-Roma"/>
          <w:sz w:val="18"/>
          <w:szCs w:val="18"/>
        </w:rPr>
        <w:t>≠</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vmp1 </w:t>
      </w:r>
    </w:p>
    <w:p w:rsidR="00CA7203" w:rsidRDefault="00CA7203" w:rsidP="00CA7203">
      <w:pPr>
        <w:autoSpaceDE w:val="0"/>
        <w:autoSpaceDN w:val="0"/>
        <w:adjustRightInd w:val="0"/>
        <w:spacing w:after="0"/>
        <w:jc w:val="center"/>
        <w:rPr>
          <w:rFonts w:ascii="URWPalladioL-Roma" w:hAnsi="URWPalladioL-Roma" w:cs="URWPalladioL-Roma"/>
          <w:sz w:val="18"/>
          <w:szCs w:val="18"/>
        </w:rPr>
      </w:pPr>
      <w:r w:rsidRPr="00486B23">
        <w:t>2)</w:t>
      </w:r>
      <w:r>
        <w:rPr>
          <w:rFonts w:ascii="URWPalladioL-Ital" w:hAnsi="URWPalladioL-Ital" w:cs="URWPalladioL-Ital"/>
          <w:sz w:val="24"/>
          <w:szCs w:val="24"/>
        </w:rPr>
        <w:t xml:space="preserve"> </w:t>
      </w:r>
      <w:proofErr w:type="gramStart"/>
      <w:r>
        <w:rPr>
          <w:rFonts w:ascii="URWPalladioL-Ital" w:hAnsi="URWPalladioL-Ital" w:cs="URWPalladioL-Ital"/>
          <w:sz w:val="24"/>
          <w:szCs w:val="24"/>
        </w:rPr>
        <w:t>H</w:t>
      </w:r>
      <w:r>
        <w:rPr>
          <w:rFonts w:ascii="URWPalladioL-Roma" w:hAnsi="URWPalladioL-Roma" w:cs="URWPalladioL-Roma"/>
          <w:sz w:val="18"/>
          <w:szCs w:val="18"/>
        </w:rPr>
        <w:t xml:space="preserve">0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vmp1</w:t>
      </w:r>
      <w:r>
        <w:rPr>
          <w:rFonts w:ascii="URWPalladioL-Roma" w:hAnsi="URWPalladioL-Roma" w:cs="URWPalladioL-Roma"/>
          <w:sz w:val="18"/>
          <w:szCs w:val="18"/>
        </w:rPr>
        <w:t xml:space="preserve"> </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 xml:space="preserve">vmp2 </w:t>
      </w:r>
      <w:r w:rsidR="00BB15CD">
        <w:rPr>
          <w:rFonts w:ascii="URWPalladioL-Roma" w:hAnsi="URWPalladioL-Roma" w:cs="URWPalladioL-Roma"/>
          <w:sz w:val="18"/>
          <w:szCs w:val="18"/>
        </w:rPr>
        <w:t xml:space="preserve">   </w:t>
      </w:r>
      <w:r>
        <w:rPr>
          <w:rFonts w:ascii="URWPalladioL-Ital" w:hAnsi="URWPalladioL-Ital" w:cs="URWPalladioL-Ital"/>
          <w:sz w:val="24"/>
          <w:szCs w:val="24"/>
        </w:rPr>
        <w:t>H</w:t>
      </w:r>
      <w:r>
        <w:rPr>
          <w:rFonts w:ascii="URWPalladioL-Roma" w:hAnsi="URWPalladioL-Roma" w:cs="URWPalladioL-Roma"/>
          <w:sz w:val="18"/>
          <w:szCs w:val="18"/>
        </w:rPr>
        <w:t xml:space="preserve">1 </w:t>
      </w:r>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vmp1</w:t>
      </w:r>
      <w:r>
        <w:rPr>
          <w:rFonts w:ascii="URWPalladioL-Roma" w:hAnsi="URWPalladioL-Roma" w:cs="URWPalladioL-Roma"/>
          <w:sz w:val="18"/>
          <w:szCs w:val="18"/>
        </w:rPr>
        <w:t xml:space="preserve"> </w:t>
      </w:r>
      <w:r>
        <w:rPr>
          <w:rFonts w:ascii="PazoMath-Italic" w:hAnsi="PazoMath-Italic" w:cs="URWPalladioL-Roma"/>
          <w:sz w:val="18"/>
          <w:szCs w:val="18"/>
        </w:rPr>
        <w:t>≠</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vmp2</w:t>
      </w:r>
    </w:p>
    <w:p w:rsidR="00CA7203" w:rsidRDefault="00CA7203" w:rsidP="00CA7203">
      <w:pPr>
        <w:jc w:val="center"/>
        <w:rPr>
          <w:rFonts w:ascii="URWPalladioL-Roma" w:hAnsi="URWPalladioL-Roma" w:cs="URWPalladioL-Roma"/>
          <w:sz w:val="18"/>
          <w:szCs w:val="18"/>
        </w:rPr>
      </w:pPr>
      <w:r w:rsidRPr="00486B23">
        <w:t>3)</w:t>
      </w:r>
      <w:r>
        <w:rPr>
          <w:rFonts w:ascii="URWPalladioL-Ital" w:hAnsi="URWPalladioL-Ital" w:cs="URWPalladioL-Ital"/>
          <w:sz w:val="24"/>
          <w:szCs w:val="24"/>
        </w:rPr>
        <w:t xml:space="preserve"> </w:t>
      </w:r>
      <w:proofErr w:type="gramStart"/>
      <w:r>
        <w:rPr>
          <w:rFonts w:ascii="URWPalladioL-Ital" w:hAnsi="URWPalladioL-Ital" w:cs="URWPalladioL-Ital"/>
          <w:sz w:val="24"/>
          <w:szCs w:val="24"/>
        </w:rPr>
        <w:t>H</w:t>
      </w:r>
      <w:r>
        <w:rPr>
          <w:rFonts w:ascii="URWPalladioL-Roma" w:hAnsi="URWPalladioL-Roma" w:cs="URWPalladioL-Roma"/>
          <w:sz w:val="18"/>
          <w:szCs w:val="18"/>
        </w:rPr>
        <w:t xml:space="preserve">0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vmp2</w:t>
      </w:r>
      <w:r>
        <w:rPr>
          <w:rFonts w:ascii="URWPalladioL-Roma" w:hAnsi="URWPalladioL-Roma" w:cs="URWPalladioL-Roma"/>
          <w:sz w:val="18"/>
          <w:szCs w:val="18"/>
        </w:rPr>
        <w:t xml:space="preserve"> </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vmp3</w:t>
      </w:r>
      <w:r w:rsidR="00BB15CD">
        <w:rPr>
          <w:rFonts w:ascii="URWPalladioL-Roma" w:hAnsi="URWPalladioL-Roma" w:cs="URWPalladioL-Roma"/>
          <w:sz w:val="18"/>
          <w:szCs w:val="18"/>
        </w:rPr>
        <w:t xml:space="preserve">   </w:t>
      </w:r>
      <w:r>
        <w:rPr>
          <w:rFonts w:ascii="URWPalladioL-Roma" w:hAnsi="URWPalladioL-Roma" w:cs="URWPalladioL-Roma"/>
          <w:sz w:val="24"/>
          <w:szCs w:val="24"/>
        </w:rPr>
        <w:t xml:space="preserve"> </w:t>
      </w:r>
      <w:r>
        <w:rPr>
          <w:rFonts w:ascii="URWPalladioL-Ital" w:hAnsi="URWPalladioL-Ital" w:cs="URWPalladioL-Ital"/>
          <w:sz w:val="24"/>
          <w:szCs w:val="24"/>
        </w:rPr>
        <w:t>H</w:t>
      </w:r>
      <w:r>
        <w:rPr>
          <w:rFonts w:ascii="URWPalladioL-Roma" w:hAnsi="URWPalladioL-Roma" w:cs="URWPalladioL-Roma"/>
          <w:sz w:val="18"/>
          <w:szCs w:val="18"/>
        </w:rPr>
        <w:t xml:space="preserve">1 </w:t>
      </w:r>
      <w:r>
        <w:rPr>
          <w:rFonts w:ascii="URWPalladioL-Roma" w:hAnsi="URWPalladioL-Roma" w:cs="URWPalladioL-Roma"/>
          <w:sz w:val="24"/>
          <w:szCs w:val="24"/>
        </w:rPr>
        <w:t xml:space="preserve">: </w:t>
      </w:r>
      <w:r>
        <w:rPr>
          <w:rFonts w:ascii="PazoMath-Italic" w:hAnsi="PazoMath-Italic" w:cs="PazoMath-Italic"/>
          <w:i/>
          <w:iCs/>
          <w:sz w:val="24"/>
          <w:szCs w:val="24"/>
        </w:rPr>
        <w:t>µ</w:t>
      </w:r>
      <w:r>
        <w:rPr>
          <w:rFonts w:ascii="URWPalladioL-Roma" w:hAnsi="URWPalladioL-Roma" w:cs="URWPalladioL-Roma"/>
          <w:sz w:val="18"/>
          <w:szCs w:val="18"/>
        </w:rPr>
        <w:t>vmp2</w:t>
      </w:r>
      <w:r>
        <w:rPr>
          <w:rFonts w:ascii="URWPalladioL-Roma" w:hAnsi="URWPalladioL-Roma" w:cs="URWPalladioL-Roma"/>
          <w:sz w:val="18"/>
          <w:szCs w:val="18"/>
        </w:rPr>
        <w:t xml:space="preserve"> </w:t>
      </w:r>
      <w:r>
        <w:rPr>
          <w:rFonts w:ascii="PazoMath-Italic" w:hAnsi="PazoMath-Italic" w:cs="URWPalladioL-Roma"/>
          <w:sz w:val="18"/>
          <w:szCs w:val="18"/>
        </w:rPr>
        <w:t>≠</w:t>
      </w:r>
      <w:r>
        <w:rPr>
          <w:rFonts w:ascii="CMR10" w:hAnsi="CMR10" w:cs="CMR10"/>
          <w:sz w:val="25"/>
          <w:szCs w:val="25"/>
        </w:rPr>
        <w:t xml:space="preserve"> </w:t>
      </w:r>
      <w:r>
        <w:rPr>
          <w:rFonts w:ascii="PazoMath-Italic" w:hAnsi="PazoMath-Italic" w:cs="PazoMath-Italic"/>
          <w:i/>
          <w:iCs/>
          <w:sz w:val="24"/>
          <w:szCs w:val="24"/>
        </w:rPr>
        <w:t>µ</w:t>
      </w:r>
      <w:r>
        <w:rPr>
          <w:rFonts w:ascii="URWPalladioL-Roma" w:hAnsi="URWPalladioL-Roma" w:cs="URWPalladioL-Roma"/>
          <w:sz w:val="18"/>
          <w:szCs w:val="18"/>
        </w:rPr>
        <w:t>vmp3</w:t>
      </w:r>
    </w:p>
    <w:p w:rsidR="00CA7203" w:rsidRPr="00486B23" w:rsidRDefault="00CA7203" w:rsidP="00CA7203">
      <w:r w:rsidRPr="00486B23">
        <w:t xml:space="preserve">We test each, </w:t>
      </w:r>
      <w:proofErr w:type="gramStart"/>
      <w:r w:rsidRPr="00486B23">
        <w:t>using  R</w:t>
      </w:r>
      <w:r w:rsidR="00C14899">
        <w:t>’s</w:t>
      </w:r>
      <w:proofErr w:type="gramEnd"/>
      <w:r w:rsidR="00C14899">
        <w:t xml:space="preserve"> </w:t>
      </w:r>
      <w:proofErr w:type="spellStart"/>
      <w:r w:rsidR="00C14899" w:rsidRPr="00C14899">
        <w:rPr>
          <w:highlight w:val="yellow"/>
        </w:rPr>
        <w:t>t.test</w:t>
      </w:r>
      <w:proofErr w:type="spellEnd"/>
      <w:r w:rsidR="00C14899">
        <w:t xml:space="preserve"> function</w:t>
      </w:r>
      <w:r w:rsidRPr="00486B23">
        <w:t>.</w:t>
      </w:r>
    </w:p>
    <w:p w:rsidR="00CA7203" w:rsidRPr="00486B23" w:rsidRDefault="00CA7203" w:rsidP="00CA7203">
      <w:pPr>
        <w:pStyle w:val="ListParagraph"/>
        <w:numPr>
          <w:ilvl w:val="0"/>
          <w:numId w:val="5"/>
        </w:numPr>
      </w:pPr>
      <w:r w:rsidRPr="00486B23">
        <w:t>P-value = 0.00465</w:t>
      </w:r>
    </w:p>
    <w:p w:rsidR="00CA7203" w:rsidRPr="00486B23" w:rsidRDefault="00CA7203" w:rsidP="00CA7203">
      <w:pPr>
        <w:pStyle w:val="ListParagraph"/>
        <w:numPr>
          <w:ilvl w:val="0"/>
          <w:numId w:val="5"/>
        </w:numPr>
      </w:pPr>
      <w:r w:rsidRPr="00486B23">
        <w:t>P-value = 0.0781</w:t>
      </w:r>
    </w:p>
    <w:p w:rsidR="00CA7203" w:rsidRPr="00486B23" w:rsidRDefault="00CA7203" w:rsidP="00CA7203">
      <w:pPr>
        <w:pStyle w:val="ListParagraph"/>
        <w:numPr>
          <w:ilvl w:val="0"/>
          <w:numId w:val="5"/>
        </w:numPr>
      </w:pPr>
      <w:r w:rsidRPr="00486B23">
        <w:t>P-value = 0.1346</w:t>
      </w:r>
    </w:p>
    <w:p w:rsidR="00CC495C" w:rsidRDefault="00CA7203" w:rsidP="00C256A5">
      <w:pPr>
        <w:jc w:val="both"/>
      </w:pPr>
      <w:r w:rsidRPr="00486B23">
        <w:t xml:space="preserve">Using a significance threshold of 0.05 (5%), we see that while VMP1 had a statistically significant decrease on the nitrate loads over VMP0, the others, VMP2 over VMP1 and VMP3 over VMP2, did not meet our criteria for statistical significance. </w:t>
      </w:r>
      <w:r w:rsidR="00486B23">
        <w:t>They do give weak evidence against the null hypothesis, but could</w:t>
      </w:r>
      <w:r w:rsidR="00283A4F">
        <w:t xml:space="preserve"> also be due to random variation in the data</w:t>
      </w:r>
      <w:r w:rsidR="00486B23">
        <w:t xml:space="preserve">. </w:t>
      </w:r>
      <w:r w:rsidR="00CC495C">
        <w:t>When all VMPs are combined, we can reject the null hypothesis, but</w:t>
      </w:r>
      <w:r w:rsidR="00283A4F">
        <w:t>,</w:t>
      </w:r>
      <w:r w:rsidR="00CC495C">
        <w:t xml:space="preserve"> for certain individual VMPs, we cannot. </w:t>
      </w:r>
      <w:bookmarkStart w:id="0" w:name="_GoBack"/>
      <w:bookmarkEnd w:id="0"/>
    </w:p>
    <w:p w:rsidR="00CC495C" w:rsidRDefault="00CC495C" w:rsidP="00CA7203">
      <w:r>
        <w:t>Conclusion)</w:t>
      </w:r>
    </w:p>
    <w:p w:rsidR="00C56EA0" w:rsidRDefault="00CC495C" w:rsidP="002B11BC">
      <w:pPr>
        <w:jc w:val="both"/>
      </w:pPr>
      <w:r>
        <w:tab/>
        <w:t xml:space="preserve">The 3 VMPs enacted over the period of 25 years have impacted the nitrate loading in Skive Fjord and decreased it consistently over time. Observing the graphs in the statistical description section show qualitatively the decrease of nitrate loads, and would suggest the VMPs are a driver of this change. Each VMP era has a lesser mean than the era before, and the variance decreases across the period, giving us confidence in our qualitative assumptions. The hypothesis testing and confidence intervals </w:t>
      </w:r>
      <w:proofErr w:type="gramStart"/>
      <w:r>
        <w:t>show</w:t>
      </w:r>
      <w:proofErr w:type="gramEnd"/>
      <w:r>
        <w:t xml:space="preserve"> that while the graphs seem like enough evidence, our assumptions can sometimes be wrong. Most confidence intervals overlap with the intervals in the preceding era, and some overlap the mean of the preceding era. (This is an easy way to test significance using confidence intervals and critical values, P-value testing is also correct.) This means that the likelihood of decreasing loads due to random chance is greater. However, we still maintain weak evidence against the null hypothesis. If more years</w:t>
      </w:r>
      <w:r w:rsidR="00C14899">
        <w:t xml:space="preserve"> or data points</w:t>
      </w:r>
      <w:r>
        <w:t xml:space="preserve"> were given in each </w:t>
      </w:r>
      <w:r w:rsidR="00C14899">
        <w:t xml:space="preserve">VMP period, we would have more degrees of freedom and thus more confidence in our testing. </w:t>
      </w:r>
    </w:p>
    <w:p w:rsidR="00283A4F" w:rsidRDefault="00283A4F" w:rsidP="00172EFE"/>
    <w:p w:rsidR="00283A4F" w:rsidRPr="00497486" w:rsidRDefault="00283A4F" w:rsidP="00172EFE">
      <w:r>
        <w:t>SEE ACCOMPANYING .R FILE FOR R CODE USED IN THIS PROJECT</w:t>
      </w:r>
      <w:proofErr w:type="gramStart"/>
      <w:r>
        <w:t>.</w:t>
      </w:r>
      <w:proofErr w:type="gramEnd"/>
    </w:p>
    <w:sectPr w:rsidR="00283A4F" w:rsidRPr="00497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97C" w:rsidRDefault="0003097C" w:rsidP="00857CEB">
      <w:pPr>
        <w:spacing w:after="0" w:line="240" w:lineRule="auto"/>
      </w:pPr>
      <w:r>
        <w:separator/>
      </w:r>
    </w:p>
  </w:endnote>
  <w:endnote w:type="continuationSeparator" w:id="0">
    <w:p w:rsidR="0003097C" w:rsidRDefault="0003097C" w:rsidP="0085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PazoMath-Italic">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97C" w:rsidRDefault="0003097C" w:rsidP="00857CEB">
      <w:pPr>
        <w:spacing w:after="0" w:line="240" w:lineRule="auto"/>
      </w:pPr>
      <w:r>
        <w:separator/>
      </w:r>
    </w:p>
  </w:footnote>
  <w:footnote w:type="continuationSeparator" w:id="0">
    <w:p w:rsidR="0003097C" w:rsidRDefault="0003097C" w:rsidP="00857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834"/>
    <w:multiLevelType w:val="hybridMultilevel"/>
    <w:tmpl w:val="3C4EE97C"/>
    <w:lvl w:ilvl="0" w:tplc="97D669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512DC"/>
    <w:multiLevelType w:val="hybridMultilevel"/>
    <w:tmpl w:val="150A6098"/>
    <w:lvl w:ilvl="0" w:tplc="C1487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A0EDA"/>
    <w:multiLevelType w:val="hybridMultilevel"/>
    <w:tmpl w:val="3EEC6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31BD8"/>
    <w:multiLevelType w:val="hybridMultilevel"/>
    <w:tmpl w:val="F118A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2173A"/>
    <w:multiLevelType w:val="hybridMultilevel"/>
    <w:tmpl w:val="1F44D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A7"/>
    <w:rsid w:val="000166F6"/>
    <w:rsid w:val="0003097C"/>
    <w:rsid w:val="00105F83"/>
    <w:rsid w:val="00172EFE"/>
    <w:rsid w:val="00187739"/>
    <w:rsid w:val="001B5872"/>
    <w:rsid w:val="00246A63"/>
    <w:rsid w:val="00283A4F"/>
    <w:rsid w:val="002A5654"/>
    <w:rsid w:val="002B11BC"/>
    <w:rsid w:val="0037032D"/>
    <w:rsid w:val="003A1A1B"/>
    <w:rsid w:val="00486B23"/>
    <w:rsid w:val="00497486"/>
    <w:rsid w:val="005D7CA2"/>
    <w:rsid w:val="00737026"/>
    <w:rsid w:val="007529A7"/>
    <w:rsid w:val="00765125"/>
    <w:rsid w:val="00776B85"/>
    <w:rsid w:val="00857CEB"/>
    <w:rsid w:val="009932C3"/>
    <w:rsid w:val="009A079C"/>
    <w:rsid w:val="00A32174"/>
    <w:rsid w:val="00A33A7F"/>
    <w:rsid w:val="00BB15CD"/>
    <w:rsid w:val="00C14899"/>
    <w:rsid w:val="00C256A5"/>
    <w:rsid w:val="00C4237F"/>
    <w:rsid w:val="00C56EA0"/>
    <w:rsid w:val="00CA7203"/>
    <w:rsid w:val="00CC495C"/>
    <w:rsid w:val="00D176F1"/>
    <w:rsid w:val="00E574F6"/>
    <w:rsid w:val="00FB6631"/>
    <w:rsid w:val="00FE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74"/>
    <w:pPr>
      <w:ind w:left="720"/>
      <w:contextualSpacing/>
    </w:pPr>
  </w:style>
  <w:style w:type="paragraph" w:styleId="BalloonText">
    <w:name w:val="Balloon Text"/>
    <w:basedOn w:val="Normal"/>
    <w:link w:val="BalloonTextChar"/>
    <w:uiPriority w:val="99"/>
    <w:semiHidden/>
    <w:unhideWhenUsed/>
    <w:rsid w:val="00A32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74"/>
    <w:rPr>
      <w:rFonts w:ascii="Tahoma" w:hAnsi="Tahoma" w:cs="Tahoma"/>
      <w:sz w:val="16"/>
      <w:szCs w:val="16"/>
    </w:rPr>
  </w:style>
  <w:style w:type="paragraph" w:styleId="Header">
    <w:name w:val="header"/>
    <w:basedOn w:val="Normal"/>
    <w:link w:val="HeaderChar"/>
    <w:uiPriority w:val="99"/>
    <w:unhideWhenUsed/>
    <w:rsid w:val="00857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CEB"/>
  </w:style>
  <w:style w:type="paragraph" w:styleId="Footer">
    <w:name w:val="footer"/>
    <w:basedOn w:val="Normal"/>
    <w:link w:val="FooterChar"/>
    <w:uiPriority w:val="99"/>
    <w:unhideWhenUsed/>
    <w:rsid w:val="00857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CEB"/>
  </w:style>
  <w:style w:type="table" w:styleId="TableGrid">
    <w:name w:val="Table Grid"/>
    <w:basedOn w:val="TableNormal"/>
    <w:uiPriority w:val="59"/>
    <w:rsid w:val="00016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974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74"/>
    <w:pPr>
      <w:ind w:left="720"/>
      <w:contextualSpacing/>
    </w:pPr>
  </w:style>
  <w:style w:type="paragraph" w:styleId="BalloonText">
    <w:name w:val="Balloon Text"/>
    <w:basedOn w:val="Normal"/>
    <w:link w:val="BalloonTextChar"/>
    <w:uiPriority w:val="99"/>
    <w:semiHidden/>
    <w:unhideWhenUsed/>
    <w:rsid w:val="00A32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74"/>
    <w:rPr>
      <w:rFonts w:ascii="Tahoma" w:hAnsi="Tahoma" w:cs="Tahoma"/>
      <w:sz w:val="16"/>
      <w:szCs w:val="16"/>
    </w:rPr>
  </w:style>
  <w:style w:type="paragraph" w:styleId="Header">
    <w:name w:val="header"/>
    <w:basedOn w:val="Normal"/>
    <w:link w:val="HeaderChar"/>
    <w:uiPriority w:val="99"/>
    <w:unhideWhenUsed/>
    <w:rsid w:val="00857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CEB"/>
  </w:style>
  <w:style w:type="paragraph" w:styleId="Footer">
    <w:name w:val="footer"/>
    <w:basedOn w:val="Normal"/>
    <w:link w:val="FooterChar"/>
    <w:uiPriority w:val="99"/>
    <w:unhideWhenUsed/>
    <w:rsid w:val="00857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CEB"/>
  </w:style>
  <w:style w:type="table" w:styleId="TableGrid">
    <w:name w:val="Table Grid"/>
    <w:basedOn w:val="TableNormal"/>
    <w:uiPriority w:val="59"/>
    <w:rsid w:val="00016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97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6447</TotalTime>
  <Pages>6</Pages>
  <Words>1109</Words>
  <Characters>5455</Characters>
  <Application>Microsoft Office Word</Application>
  <DocSecurity>0</DocSecurity>
  <Lines>168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Kladar</dc:creator>
  <cp:lastModifiedBy>Kladar</cp:lastModifiedBy>
  <cp:revision>10</cp:revision>
  <cp:lastPrinted>2014-10-20T11:45:00Z</cp:lastPrinted>
  <dcterms:created xsi:type="dcterms:W3CDTF">2014-10-03T10:06:00Z</dcterms:created>
  <dcterms:modified xsi:type="dcterms:W3CDTF">2014-10-20T11:48:00Z</dcterms:modified>
</cp:coreProperties>
</file>